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21D17D0E" w:rsidR="00CE3E7F" w:rsidRPr="00CE3E7F" w:rsidRDefault="00CE3E7F" w:rsidP="510CBEF7">
      <w:pPr>
        <w:ind w:right="6"/>
        <w:jc w:val="both"/>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4DD8B808">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 xml:space="preserve">Department of </w:t>
      </w:r>
      <w:r w:rsidR="57340751" w:rsidRPr="1809F0DF">
        <w:rPr>
          <w:rFonts w:ascii="Avenir" w:hAnsi="Avenir" w:cs="Calibri"/>
          <w:b/>
          <w:bCs/>
          <w:color w:val="4F2683"/>
          <w:sz w:val="22"/>
          <w:szCs w:val="22"/>
        </w:rPr>
        <w:t>Mathematics</w:t>
      </w:r>
    </w:p>
    <w:p w14:paraId="0448B69C" w14:textId="77777777" w:rsidR="00CE3E7F" w:rsidRDefault="00CE3E7F" w:rsidP="510CBEF7">
      <w:pPr>
        <w:jc w:val="both"/>
        <w:rPr>
          <w:b/>
          <w:bCs/>
        </w:rPr>
      </w:pPr>
    </w:p>
    <w:p w14:paraId="2CB08426" w14:textId="10A085F4" w:rsidR="00CA2D6B" w:rsidRDefault="00CA2D6B" w:rsidP="510CBEF7">
      <w:pPr>
        <w:jc w:val="both"/>
        <w:rPr>
          <w:b/>
          <w:bCs/>
        </w:rPr>
      </w:pPr>
    </w:p>
    <w:p w14:paraId="793F9F01" w14:textId="77777777" w:rsidR="00BB3577" w:rsidRDefault="00BB3577" w:rsidP="510CBEF7">
      <w:pPr>
        <w:jc w:val="both"/>
      </w:pPr>
    </w:p>
    <w:p w14:paraId="329E75B6" w14:textId="64BC13E9" w:rsidR="003F0C6D" w:rsidRPr="00597639" w:rsidRDefault="57340751" w:rsidP="510CBEF7">
      <w:pPr>
        <w:tabs>
          <w:tab w:val="center" w:pos="5040"/>
        </w:tabs>
        <w:jc w:val="both"/>
        <w:rPr>
          <w:b/>
          <w:bCs/>
          <w:sz w:val="36"/>
          <w:szCs w:val="36"/>
        </w:rPr>
      </w:pPr>
      <w:r w:rsidRPr="510CBEF7">
        <w:rPr>
          <w:b/>
          <w:bCs/>
          <w:color w:val="000000" w:themeColor="text1"/>
          <w:sz w:val="36"/>
          <w:szCs w:val="36"/>
        </w:rPr>
        <w:t>MATH 4121A / 9021A – Topology –</w:t>
      </w:r>
      <w:r w:rsidR="00597639" w:rsidRPr="510CBEF7">
        <w:rPr>
          <w:b/>
          <w:bCs/>
          <w:color w:val="000000" w:themeColor="text1"/>
          <w:sz w:val="36"/>
          <w:szCs w:val="36"/>
        </w:rPr>
        <w:t xml:space="preserve"> </w:t>
      </w:r>
      <w:r w:rsidR="00597639" w:rsidRPr="510CBEF7">
        <w:rPr>
          <w:b/>
          <w:bCs/>
          <w:sz w:val="36"/>
          <w:szCs w:val="36"/>
        </w:rPr>
        <w:t>Course Outline</w:t>
      </w:r>
    </w:p>
    <w:p w14:paraId="170FD97C" w14:textId="77777777" w:rsidR="00597639" w:rsidRDefault="00597639" w:rsidP="510CBEF7">
      <w:pPr>
        <w:jc w:val="both"/>
      </w:pPr>
    </w:p>
    <w:p w14:paraId="56483DA0" w14:textId="0F11FFDE" w:rsidR="00326122" w:rsidRDefault="00B451DA" w:rsidP="510CBEF7">
      <w:pPr>
        <w:jc w:val="both"/>
        <w:rPr>
          <w:b/>
          <w:bCs/>
          <w:sz w:val="36"/>
          <w:szCs w:val="36"/>
        </w:rPr>
      </w:pPr>
      <w:r w:rsidRPr="510CBEF7">
        <w:rPr>
          <w:b/>
          <w:bCs/>
          <w:sz w:val="36"/>
          <w:szCs w:val="36"/>
        </w:rPr>
        <w:t>1. Course Information</w:t>
      </w:r>
    </w:p>
    <w:p w14:paraId="4091B187" w14:textId="77777777" w:rsidR="00B451DA" w:rsidRDefault="00B451DA" w:rsidP="510CBEF7">
      <w:pPr>
        <w:jc w:val="both"/>
      </w:pPr>
    </w:p>
    <w:p w14:paraId="04168503" w14:textId="6BB7C9BD" w:rsidR="003F0C6D" w:rsidRDefault="003F0C6D" w:rsidP="510CBEF7">
      <w:pPr>
        <w:jc w:val="both"/>
      </w:pPr>
      <w:r w:rsidRPr="510CBEF7">
        <w:rPr>
          <w:b/>
          <w:bCs/>
        </w:rPr>
        <w:t>Course Information</w:t>
      </w:r>
    </w:p>
    <w:p w14:paraId="555B3488" w14:textId="2A3B6B51" w:rsidR="00CA7E7D" w:rsidRPr="00CF2B11" w:rsidRDefault="3DD64CEA" w:rsidP="510CBEF7">
      <w:pPr>
        <w:jc w:val="both"/>
        <w:rPr>
          <w:color w:val="007F00"/>
        </w:rPr>
      </w:pPr>
      <w:r>
        <w:t xml:space="preserve">MATH 4121A / 9021A – Topology. Fall 2025. </w:t>
      </w:r>
      <w:r w:rsidR="002B4840">
        <w:t>[Redacted]</w:t>
      </w:r>
    </w:p>
    <w:p w14:paraId="1A66BA7E" w14:textId="760960C9" w:rsidR="510CBEF7" w:rsidRDefault="510CBEF7" w:rsidP="510CBEF7">
      <w:pPr>
        <w:jc w:val="both"/>
      </w:pPr>
    </w:p>
    <w:p w14:paraId="76A152B8" w14:textId="4E24939D" w:rsidR="006D28B8" w:rsidRDefault="00681697" w:rsidP="510CBEF7">
      <w:pPr>
        <w:jc w:val="both"/>
        <w:rPr>
          <w:color w:val="FF0000"/>
        </w:rPr>
      </w:pPr>
      <w:r w:rsidRPr="510CBEF7">
        <w:rPr>
          <w:b/>
          <w:bCs/>
        </w:rPr>
        <w:t xml:space="preserve">List of </w:t>
      </w:r>
      <w:r w:rsidR="003F0C6D" w:rsidRPr="510CBEF7">
        <w:rPr>
          <w:b/>
          <w:bCs/>
        </w:rPr>
        <w:t>Prerequisite</w:t>
      </w:r>
      <w:r w:rsidRPr="510CBEF7">
        <w:rPr>
          <w:b/>
          <w:bCs/>
        </w:rPr>
        <w:t>s</w:t>
      </w:r>
    </w:p>
    <w:p w14:paraId="7BD4E574" w14:textId="4C14E490" w:rsidR="339BB0FE" w:rsidRDefault="339BB0FE" w:rsidP="510CBEF7">
      <w:pPr>
        <w:jc w:val="both"/>
      </w:pPr>
      <w:r>
        <w:t>Mathematics 3122A/B</w:t>
      </w:r>
    </w:p>
    <w:p w14:paraId="65797F2F" w14:textId="7A73D786" w:rsidR="510CBEF7" w:rsidRDefault="510CBEF7" w:rsidP="510CBEF7">
      <w:pPr>
        <w:jc w:val="both"/>
      </w:pPr>
    </w:p>
    <w:p w14:paraId="69262065" w14:textId="4B6123E3" w:rsidR="00CF2B11" w:rsidRDefault="00CF2B11" w:rsidP="510CBEF7">
      <w:pPr>
        <w:jc w:val="both"/>
      </w:pPr>
      <w:r>
        <w:t xml:space="preserve">Unless you have either the </w:t>
      </w:r>
      <w:r w:rsidR="00A611D5">
        <w:t>pre</w:t>
      </w:r>
      <w:r>
        <w:t xml:space="preserve">requisites for this course or written special permission from </w:t>
      </w:r>
      <w:r w:rsidR="000D3A67">
        <w:t>the</w:t>
      </w:r>
      <w:r w:rsidR="5164D27D">
        <w:t xml:space="preserve"> Department of Mathematics t</w:t>
      </w:r>
      <w:r>
        <w:t xml:space="preserve">o enroll in it, you may be </w:t>
      </w:r>
      <w:r w:rsidR="000D3A67">
        <w:t xml:space="preserve">removed and </w:t>
      </w:r>
      <w:r w:rsidR="00A611D5">
        <w:t>withdrawn</w:t>
      </w:r>
      <w:r>
        <w:t xml:space="preserve"> from this course</w:t>
      </w:r>
      <w:r w:rsidR="00E6583A">
        <w:t xml:space="preserve"> </w:t>
      </w:r>
      <w:r w:rsidR="0038747F">
        <w:t xml:space="preserve">in accordance with </w:t>
      </w:r>
      <w:r w:rsidR="00E6583A">
        <w:t>university policy</w:t>
      </w:r>
      <w:r>
        <w:t>.</w:t>
      </w:r>
      <w:r w:rsidR="00852477">
        <w:t xml:space="preserve"> </w:t>
      </w:r>
      <w:r w:rsidR="003D4C2D">
        <w:t xml:space="preserve">This may be done after the add/drop deadline of the academic term, and </w:t>
      </w:r>
      <w:r w:rsidR="001B3993">
        <w:t xml:space="preserve">the course will be marked as withdrawn (WDN) on </w:t>
      </w:r>
      <w:r w:rsidR="00545F6F">
        <w:t xml:space="preserve">your academic record. </w:t>
      </w:r>
      <w:r>
        <w:t>Thi</w:t>
      </w:r>
      <w:r w:rsidR="00545F6F">
        <w:t>s</w:t>
      </w:r>
      <w:r>
        <w:t xml:space="preserve"> decision may not be appealed. </w:t>
      </w:r>
      <w:r w:rsidR="00852477">
        <w:t xml:space="preserve"> </w:t>
      </w:r>
    </w:p>
    <w:p w14:paraId="311A7561" w14:textId="4209BDD2" w:rsidR="00CF2B11" w:rsidRDefault="00CF2B11" w:rsidP="510CBEF7">
      <w:pPr>
        <w:jc w:val="both"/>
      </w:pPr>
    </w:p>
    <w:p w14:paraId="4F81AFDD" w14:textId="77777777" w:rsidR="00B451DA" w:rsidRDefault="00B451DA" w:rsidP="510CBEF7">
      <w:pPr>
        <w:jc w:val="both"/>
        <w:rPr>
          <w:b/>
          <w:bCs/>
        </w:rPr>
      </w:pPr>
    </w:p>
    <w:p w14:paraId="0835AC56" w14:textId="0E211E8F" w:rsidR="00B451DA" w:rsidRDefault="00B451DA" w:rsidP="510CBEF7">
      <w:pPr>
        <w:jc w:val="both"/>
        <w:rPr>
          <w:b/>
          <w:bCs/>
        </w:rPr>
      </w:pPr>
      <w:r w:rsidRPr="510CBEF7">
        <w:rPr>
          <w:b/>
          <w:bCs/>
          <w:sz w:val="36"/>
          <w:szCs w:val="36"/>
        </w:rPr>
        <w:t>2. Instructor Information</w:t>
      </w:r>
    </w:p>
    <w:p w14:paraId="6579E955" w14:textId="673221A3" w:rsidR="003F0C6D" w:rsidRDefault="003F0C6D" w:rsidP="510CBEF7">
      <w:pPr>
        <w:jc w:val="both"/>
      </w:pPr>
    </w:p>
    <w:tbl>
      <w:tblPr>
        <w:tblW w:w="98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0"/>
        <w:gridCol w:w="2310"/>
        <w:gridCol w:w="1027"/>
        <w:gridCol w:w="2805"/>
      </w:tblGrid>
      <w:tr w:rsidR="00597639" w:rsidRPr="00597639" w14:paraId="2A60D15D" w14:textId="77777777" w:rsidTr="510CBEF7">
        <w:trPr>
          <w:trHeight w:val="300"/>
        </w:trPr>
        <w:tc>
          <w:tcPr>
            <w:tcW w:w="3750" w:type="dxa"/>
            <w:noWrap/>
            <w:vAlign w:val="center"/>
            <w:hideMark/>
          </w:tcPr>
          <w:p w14:paraId="7D2C84A9" w14:textId="77777777" w:rsidR="00597639" w:rsidRPr="00597639" w:rsidRDefault="00597639" w:rsidP="510CBEF7">
            <w:pPr>
              <w:jc w:val="both"/>
              <w:rPr>
                <w:rFonts w:cstheme="minorBidi"/>
                <w:b/>
                <w:bCs/>
                <w:color w:val="000000"/>
                <w:lang w:eastAsia="en-CA"/>
              </w:rPr>
            </w:pPr>
            <w:r w:rsidRPr="510CBEF7">
              <w:rPr>
                <w:rFonts w:cstheme="minorBidi"/>
                <w:b/>
                <w:bCs/>
                <w:color w:val="000000" w:themeColor="text1"/>
                <w:lang w:eastAsia="en-CA"/>
              </w:rPr>
              <w:t>Instructors</w:t>
            </w:r>
          </w:p>
        </w:tc>
        <w:tc>
          <w:tcPr>
            <w:tcW w:w="2310" w:type="dxa"/>
            <w:noWrap/>
            <w:vAlign w:val="center"/>
            <w:hideMark/>
          </w:tcPr>
          <w:p w14:paraId="2FEA44D3" w14:textId="77777777" w:rsidR="00597639" w:rsidRPr="00597639" w:rsidRDefault="00597639" w:rsidP="510CBEF7">
            <w:pPr>
              <w:jc w:val="both"/>
              <w:rPr>
                <w:rFonts w:cstheme="minorBidi"/>
                <w:b/>
                <w:bCs/>
                <w:color w:val="000000"/>
                <w:lang w:eastAsia="en-CA"/>
              </w:rPr>
            </w:pPr>
            <w:r w:rsidRPr="510CBEF7">
              <w:rPr>
                <w:rFonts w:cstheme="minorBidi"/>
                <w:b/>
                <w:bCs/>
                <w:color w:val="000000" w:themeColor="text1"/>
                <w:lang w:eastAsia="en-CA"/>
              </w:rPr>
              <w:t>Email</w:t>
            </w:r>
          </w:p>
        </w:tc>
        <w:tc>
          <w:tcPr>
            <w:tcW w:w="1027" w:type="dxa"/>
            <w:noWrap/>
            <w:vAlign w:val="center"/>
            <w:hideMark/>
          </w:tcPr>
          <w:p w14:paraId="495F2F30" w14:textId="77777777" w:rsidR="00597639" w:rsidRPr="00597639" w:rsidRDefault="00597639" w:rsidP="510CBEF7">
            <w:pPr>
              <w:jc w:val="both"/>
              <w:rPr>
                <w:rFonts w:cstheme="minorBidi"/>
                <w:b/>
                <w:bCs/>
                <w:color w:val="000000"/>
                <w:lang w:eastAsia="en-CA"/>
              </w:rPr>
            </w:pPr>
            <w:r w:rsidRPr="510CBEF7">
              <w:rPr>
                <w:rFonts w:cstheme="minorBidi"/>
                <w:b/>
                <w:bCs/>
                <w:color w:val="000000" w:themeColor="text1"/>
                <w:lang w:eastAsia="en-CA"/>
              </w:rPr>
              <w:t>Office</w:t>
            </w:r>
          </w:p>
        </w:tc>
        <w:tc>
          <w:tcPr>
            <w:tcW w:w="2805" w:type="dxa"/>
            <w:noWrap/>
            <w:vAlign w:val="center"/>
            <w:hideMark/>
          </w:tcPr>
          <w:p w14:paraId="5F5065DE" w14:textId="77777777" w:rsidR="00597639" w:rsidRPr="00597639" w:rsidRDefault="00597639" w:rsidP="510CBEF7">
            <w:pPr>
              <w:jc w:val="both"/>
              <w:rPr>
                <w:rFonts w:cstheme="minorBidi"/>
                <w:b/>
                <w:bCs/>
                <w:color w:val="000000"/>
                <w:lang w:eastAsia="en-CA"/>
              </w:rPr>
            </w:pPr>
            <w:r w:rsidRPr="510CBEF7">
              <w:rPr>
                <w:rFonts w:cstheme="minorBidi"/>
                <w:b/>
                <w:bCs/>
                <w:color w:val="000000" w:themeColor="text1"/>
                <w:lang w:eastAsia="en-CA"/>
              </w:rPr>
              <w:t>Office Hours</w:t>
            </w:r>
          </w:p>
        </w:tc>
      </w:tr>
      <w:tr w:rsidR="00597639" w:rsidRPr="00597639" w14:paraId="4BF0A8BD" w14:textId="77777777" w:rsidTr="510CBEF7">
        <w:trPr>
          <w:trHeight w:val="300"/>
        </w:trPr>
        <w:tc>
          <w:tcPr>
            <w:tcW w:w="3750" w:type="dxa"/>
            <w:noWrap/>
            <w:vAlign w:val="bottom"/>
            <w:hideMark/>
          </w:tcPr>
          <w:p w14:paraId="192A164A" w14:textId="0E85DA19" w:rsidR="00597639" w:rsidRPr="00597639" w:rsidRDefault="15806168" w:rsidP="510CBEF7">
            <w:pPr>
              <w:jc w:val="both"/>
              <w:rPr>
                <w:lang w:eastAsia="en-CA"/>
              </w:rPr>
            </w:pPr>
            <w:r>
              <w:t xml:space="preserve">Dr. Anibal </w:t>
            </w:r>
            <w:r w:rsidR="355A5D8E">
              <w:t xml:space="preserve">M. </w:t>
            </w:r>
            <w:r>
              <w:t>Medina</w:t>
            </w:r>
            <w:r w:rsidR="1DA4C4BA">
              <w:t>-</w:t>
            </w:r>
            <w:r>
              <w:t>Mardones</w:t>
            </w:r>
          </w:p>
        </w:tc>
        <w:tc>
          <w:tcPr>
            <w:tcW w:w="2310" w:type="dxa"/>
            <w:noWrap/>
            <w:vAlign w:val="bottom"/>
            <w:hideMark/>
          </w:tcPr>
          <w:p w14:paraId="7EA5C61B" w14:textId="1B059DCC" w:rsidR="00597639" w:rsidRPr="00597639" w:rsidRDefault="10E3B6E9" w:rsidP="510CBEF7">
            <w:pPr>
              <w:jc w:val="both"/>
              <w:rPr>
                <w:rFonts w:cstheme="minorBidi"/>
                <w:color w:val="000000"/>
                <w:lang w:eastAsia="en-CA"/>
              </w:rPr>
            </w:pPr>
            <w:r w:rsidRPr="510CBEF7">
              <w:rPr>
                <w:rFonts w:cstheme="minorBidi"/>
                <w:color w:val="000000" w:themeColor="text1"/>
                <w:lang w:eastAsia="en-CA"/>
              </w:rPr>
              <w:t>a</w:t>
            </w:r>
            <w:r w:rsidR="15806168" w:rsidRPr="510CBEF7">
              <w:rPr>
                <w:rFonts w:cstheme="minorBidi"/>
                <w:color w:val="000000" w:themeColor="text1"/>
                <w:lang w:eastAsia="en-CA"/>
              </w:rPr>
              <w:t>maximil@uwo.ca</w:t>
            </w:r>
          </w:p>
        </w:tc>
        <w:tc>
          <w:tcPr>
            <w:tcW w:w="1027" w:type="dxa"/>
            <w:noWrap/>
            <w:vAlign w:val="bottom"/>
            <w:hideMark/>
          </w:tcPr>
          <w:p w14:paraId="38AE06F9" w14:textId="6B2D944E" w:rsidR="00597639" w:rsidRPr="00597639" w:rsidRDefault="5D1B7F6D" w:rsidP="510CBEF7">
            <w:pPr>
              <w:jc w:val="both"/>
              <w:rPr>
                <w:rFonts w:cstheme="minorBidi"/>
                <w:color w:val="000000"/>
                <w:lang w:eastAsia="en-CA"/>
              </w:rPr>
            </w:pPr>
            <w:r w:rsidRPr="510CBEF7">
              <w:rPr>
                <w:rFonts w:cstheme="minorBidi"/>
                <w:color w:val="000000" w:themeColor="text1"/>
                <w:lang w:eastAsia="en-CA"/>
              </w:rPr>
              <w:t>TBD</w:t>
            </w:r>
          </w:p>
        </w:tc>
        <w:tc>
          <w:tcPr>
            <w:tcW w:w="2805" w:type="dxa"/>
            <w:noWrap/>
            <w:vAlign w:val="bottom"/>
            <w:hideMark/>
          </w:tcPr>
          <w:p w14:paraId="64D49F50" w14:textId="226F2146" w:rsidR="00597639" w:rsidRPr="00380354" w:rsidRDefault="002B4840" w:rsidP="510CBEF7">
            <w:pPr>
              <w:jc w:val="both"/>
              <w:rPr>
                <w:color w:val="007F00"/>
              </w:rPr>
            </w:pPr>
            <w:r>
              <w:t>[Redacted]</w:t>
            </w:r>
          </w:p>
        </w:tc>
      </w:tr>
    </w:tbl>
    <w:p w14:paraId="5CC9BAD8" w14:textId="4CE5AB35" w:rsidR="003F0C6D" w:rsidRPr="00E328FB" w:rsidRDefault="003F0C6D" w:rsidP="510CBEF7">
      <w:pPr>
        <w:jc w:val="both"/>
      </w:pPr>
    </w:p>
    <w:p w14:paraId="4823A919" w14:textId="21590523" w:rsidR="003F0C6D" w:rsidRPr="00E328FB" w:rsidRDefault="003F0C6D" w:rsidP="510CBEF7">
      <w:pPr>
        <w:jc w:val="both"/>
      </w:pPr>
      <w:r>
        <w:t xml:space="preserve">Students must use their Western </w:t>
      </w:r>
      <w:r w:rsidRPr="510CBEF7">
        <w:rPr>
          <w:color w:val="000000" w:themeColor="text1"/>
        </w:rPr>
        <w:t>(</w:t>
      </w:r>
      <w:r w:rsidRPr="510CBEF7">
        <w:rPr>
          <w:color w:val="0000FF"/>
        </w:rPr>
        <w:t>@uwo.ca</w:t>
      </w:r>
      <w:r>
        <w:t>) email addresses when contacting their instructors</w:t>
      </w:r>
      <w:r w:rsidR="47040C7E">
        <w:t xml:space="preserve"> and the subject line must include: MATH9021A.</w:t>
      </w:r>
    </w:p>
    <w:p w14:paraId="2C2C2FE5" w14:textId="77777777" w:rsidR="00326122" w:rsidRPr="00A84D9F" w:rsidRDefault="00326122" w:rsidP="510CBEF7">
      <w:pPr>
        <w:jc w:val="both"/>
        <w:rPr>
          <w:color w:val="385623" w:themeColor="accent6" w:themeShade="80"/>
        </w:rPr>
      </w:pPr>
    </w:p>
    <w:p w14:paraId="0AB3BB96" w14:textId="77777777" w:rsidR="001D554E" w:rsidRDefault="001D554E" w:rsidP="510CBEF7">
      <w:pPr>
        <w:jc w:val="both"/>
        <w:rPr>
          <w:b/>
          <w:bCs/>
          <w:sz w:val="36"/>
          <w:szCs w:val="36"/>
        </w:rPr>
      </w:pPr>
    </w:p>
    <w:p w14:paraId="1A82FC96" w14:textId="77777777" w:rsidR="006E2716" w:rsidRDefault="006E2716" w:rsidP="510CBEF7">
      <w:pPr>
        <w:jc w:val="both"/>
        <w:rPr>
          <w:b/>
          <w:bCs/>
          <w:sz w:val="36"/>
          <w:szCs w:val="36"/>
        </w:rPr>
      </w:pPr>
      <w:r w:rsidRPr="510CBEF7">
        <w:rPr>
          <w:b/>
          <w:bCs/>
          <w:sz w:val="36"/>
          <w:szCs w:val="36"/>
        </w:rPr>
        <w:br w:type="page"/>
      </w:r>
    </w:p>
    <w:p w14:paraId="02218B5F" w14:textId="559D9C53" w:rsidR="00B451DA" w:rsidRDefault="00B451DA" w:rsidP="510CBEF7">
      <w:pPr>
        <w:jc w:val="both"/>
        <w:rPr>
          <w:b/>
          <w:bCs/>
        </w:rPr>
      </w:pPr>
      <w:r w:rsidRPr="510CBEF7">
        <w:rPr>
          <w:b/>
          <w:bCs/>
          <w:sz w:val="36"/>
          <w:szCs w:val="36"/>
        </w:rPr>
        <w:lastRenderedPageBreak/>
        <w:t>3. Course Syllabus, Schedule, Delivery Mode</w:t>
      </w:r>
    </w:p>
    <w:p w14:paraId="4B794D73" w14:textId="26085EFD" w:rsidR="00B96E71" w:rsidRDefault="00B96E71" w:rsidP="510CBEF7">
      <w:pPr>
        <w:jc w:val="both"/>
      </w:pPr>
    </w:p>
    <w:p w14:paraId="7392054E" w14:textId="6DF8ACEE" w:rsidR="00B96E71" w:rsidRDefault="3153623B" w:rsidP="510CBEF7">
      <w:pPr>
        <w:jc w:val="both"/>
      </w:pPr>
      <w:r w:rsidRPr="510CBEF7">
        <w:t>Topological spaces, neighbourhoods, bases, subspaces, product and quotient spaces, connectedness, compactness, separation axioms.</w:t>
      </w:r>
    </w:p>
    <w:p w14:paraId="272A45A7" w14:textId="1D842BA0" w:rsidR="00B96E71" w:rsidRDefault="00B96E71" w:rsidP="510CBEF7">
      <w:pPr>
        <w:jc w:val="both"/>
      </w:pPr>
    </w:p>
    <w:p w14:paraId="64A8F2C2" w14:textId="60F8050A" w:rsidR="00B96E71" w:rsidRDefault="67B9A913" w:rsidP="510CBEF7">
      <w:pPr>
        <w:jc w:val="both"/>
        <w:rPr>
          <w:b/>
          <w:bCs/>
        </w:rPr>
      </w:pPr>
      <w:r w:rsidRPr="510CBEF7">
        <w:rPr>
          <w:b/>
          <w:bCs/>
        </w:rPr>
        <w:t>Course Learning Outcomes</w:t>
      </w:r>
    </w:p>
    <w:p w14:paraId="7D85F593" w14:textId="235B670E" w:rsidR="00B96E71" w:rsidRDefault="00B96E71" w:rsidP="510CBEF7">
      <w:pPr>
        <w:jc w:val="both"/>
      </w:pPr>
    </w:p>
    <w:p w14:paraId="5F41D0F8" w14:textId="04EC3A9D" w:rsidR="00B96E71" w:rsidRDefault="7284D540" w:rsidP="510CBEF7">
      <w:pPr>
        <w:jc w:val="both"/>
        <w:rPr>
          <w:b/>
          <w:bCs/>
        </w:rPr>
      </w:pPr>
      <w:r w:rsidRPr="510CBEF7">
        <w:t>By the end of the course, students should be able to define key concepts and state fundamental theorems in point-set topology, produce rigorous and well-crafted proofs, and engage in clear, informed discussions on the subject.</w:t>
      </w:r>
    </w:p>
    <w:p w14:paraId="092B5CEF" w14:textId="559565CF" w:rsidR="00B96E71" w:rsidRDefault="00B96E71" w:rsidP="510CBEF7">
      <w:pPr>
        <w:jc w:val="both"/>
      </w:pPr>
    </w:p>
    <w:p w14:paraId="2AA11E12" w14:textId="5C0942F4" w:rsidR="00B96E71" w:rsidRPr="00380354" w:rsidRDefault="67B9A913" w:rsidP="510CBEF7">
      <w:pPr>
        <w:jc w:val="both"/>
        <w:rPr>
          <w:color w:val="007F00"/>
        </w:rPr>
      </w:pPr>
      <w:r w:rsidRPr="510CBEF7">
        <w:rPr>
          <w:b/>
          <w:bCs/>
        </w:rPr>
        <w:t xml:space="preserve">Schedule: </w:t>
      </w:r>
      <w:r w:rsidR="7C51701B">
        <w:t xml:space="preserve">Lectures on </w:t>
      </w:r>
      <w:r w:rsidR="00380354">
        <w:t>[Redacted]</w:t>
      </w:r>
      <w:r w:rsidR="7C51701B">
        <w:t>.</w:t>
      </w:r>
      <w:r w:rsidR="00B96E71">
        <w:tab/>
      </w:r>
      <w:r w:rsidR="00B96E71">
        <w:tab/>
      </w:r>
    </w:p>
    <w:p w14:paraId="25A0FA19" w14:textId="40865C2E" w:rsidR="00B96E71" w:rsidRDefault="00B96E71" w:rsidP="510CBEF7">
      <w:pPr>
        <w:jc w:val="both"/>
        <w:rPr>
          <w:color w:val="007F00"/>
        </w:rPr>
      </w:pPr>
    </w:p>
    <w:p w14:paraId="2560F43E" w14:textId="05B9C647" w:rsidR="00E541E0" w:rsidRDefault="00C70D02" w:rsidP="510CBEF7">
      <w:pPr>
        <w:tabs>
          <w:tab w:val="left" w:pos="6204"/>
        </w:tabs>
        <w:jc w:val="both"/>
        <w:rPr>
          <w:color w:val="000000" w:themeColor="text1"/>
        </w:rPr>
      </w:pPr>
      <w:r w:rsidRPr="510CBEF7">
        <w:rPr>
          <w:color w:val="000000" w:themeColor="text1"/>
        </w:rPr>
        <w:t xml:space="preserve">Classes begin: September </w:t>
      </w:r>
      <w:r w:rsidR="002B7D47" w:rsidRPr="510CBEF7">
        <w:rPr>
          <w:color w:val="000000" w:themeColor="text1"/>
        </w:rPr>
        <w:t>4</w:t>
      </w:r>
      <w:r w:rsidR="00C62B7E" w:rsidRPr="510CBEF7">
        <w:rPr>
          <w:color w:val="000000" w:themeColor="text1"/>
        </w:rPr>
        <w:t>, 202</w:t>
      </w:r>
      <w:r w:rsidR="002B7D47" w:rsidRPr="510CBEF7">
        <w:rPr>
          <w:color w:val="000000" w:themeColor="text1"/>
        </w:rPr>
        <w:t>5</w:t>
      </w:r>
    </w:p>
    <w:p w14:paraId="6A6E2486" w14:textId="30935215" w:rsidR="00E541E0" w:rsidRDefault="00E925CE" w:rsidP="510CBEF7">
      <w:pPr>
        <w:tabs>
          <w:tab w:val="left" w:pos="6204"/>
        </w:tabs>
        <w:jc w:val="both"/>
        <w:rPr>
          <w:color w:val="000000" w:themeColor="text1"/>
        </w:rPr>
      </w:pPr>
      <w:r w:rsidRPr="510CBEF7">
        <w:rPr>
          <w:color w:val="000000" w:themeColor="text1"/>
        </w:rPr>
        <w:t xml:space="preserve">Fall </w:t>
      </w:r>
      <w:r w:rsidR="00C70D02" w:rsidRPr="510CBEF7">
        <w:rPr>
          <w:color w:val="000000" w:themeColor="text1"/>
        </w:rPr>
        <w:t xml:space="preserve">Reading Week: </w:t>
      </w:r>
      <w:r w:rsidR="002B7D47" w:rsidRPr="510CBEF7">
        <w:rPr>
          <w:color w:val="000000" w:themeColor="text1"/>
        </w:rPr>
        <w:t>November 3 – 9, 2025</w:t>
      </w:r>
      <w:r w:rsidR="00E541E0" w:rsidRPr="510CBEF7">
        <w:rPr>
          <w:color w:val="000000" w:themeColor="text1"/>
        </w:rPr>
        <w:t xml:space="preserve"> </w:t>
      </w:r>
    </w:p>
    <w:p w14:paraId="3A5A5A69" w14:textId="4D98B1B8" w:rsidR="00326122" w:rsidRDefault="00C70D02" w:rsidP="510CBEF7">
      <w:pPr>
        <w:jc w:val="both"/>
        <w:rPr>
          <w:color w:val="000000" w:themeColor="text1"/>
        </w:rPr>
      </w:pPr>
      <w:r w:rsidRPr="510CBEF7">
        <w:rPr>
          <w:color w:val="000000" w:themeColor="text1"/>
        </w:rPr>
        <w:t xml:space="preserve">Classes end: December </w:t>
      </w:r>
      <w:r w:rsidR="002B7D47" w:rsidRPr="510CBEF7">
        <w:rPr>
          <w:color w:val="000000" w:themeColor="text1"/>
        </w:rPr>
        <w:t>9</w:t>
      </w:r>
      <w:r w:rsidR="00C62B7E" w:rsidRPr="510CBEF7">
        <w:rPr>
          <w:color w:val="000000" w:themeColor="text1"/>
        </w:rPr>
        <w:t>, 202</w:t>
      </w:r>
      <w:r w:rsidR="002B7D47" w:rsidRPr="510CBEF7">
        <w:rPr>
          <w:color w:val="000000" w:themeColor="text1"/>
        </w:rPr>
        <w:t>5</w:t>
      </w:r>
    </w:p>
    <w:p w14:paraId="3140AA64" w14:textId="01F251CF" w:rsidR="00326122" w:rsidRDefault="00E925CE" w:rsidP="510CBEF7">
      <w:pPr>
        <w:jc w:val="both"/>
        <w:rPr>
          <w:color w:val="000000" w:themeColor="text1"/>
        </w:rPr>
      </w:pPr>
      <w:r w:rsidRPr="510CBEF7">
        <w:rPr>
          <w:color w:val="000000" w:themeColor="text1"/>
        </w:rPr>
        <w:t xml:space="preserve">Exam period: December </w:t>
      </w:r>
      <w:r w:rsidR="002B7D47" w:rsidRPr="510CBEF7">
        <w:rPr>
          <w:color w:val="000000" w:themeColor="text1"/>
        </w:rPr>
        <w:t>11</w:t>
      </w:r>
      <w:r w:rsidRPr="510CBEF7">
        <w:rPr>
          <w:color w:val="000000" w:themeColor="text1"/>
        </w:rPr>
        <w:t xml:space="preserve"> – 22, 202</w:t>
      </w:r>
      <w:r w:rsidR="002B7D47" w:rsidRPr="510CBEF7">
        <w:rPr>
          <w:color w:val="000000" w:themeColor="text1"/>
        </w:rPr>
        <w:t>5</w:t>
      </w:r>
    </w:p>
    <w:p w14:paraId="782F6DE1" w14:textId="0CA432DC" w:rsidR="00B451DA" w:rsidRPr="00056864" w:rsidRDefault="00B451DA" w:rsidP="510CBEF7">
      <w:pPr>
        <w:jc w:val="both"/>
      </w:pPr>
    </w:p>
    <w:p w14:paraId="1B2C0034" w14:textId="02108CFB" w:rsidR="00B451DA" w:rsidRDefault="00B451DA" w:rsidP="510CBEF7">
      <w:pPr>
        <w:jc w:val="both"/>
      </w:pPr>
      <w:r w:rsidRPr="510CBEF7">
        <w:rPr>
          <w:b/>
          <w:bCs/>
          <w:sz w:val="36"/>
          <w:szCs w:val="36"/>
        </w:rPr>
        <w:t>4. Course Materials</w:t>
      </w:r>
    </w:p>
    <w:p w14:paraId="045D975D" w14:textId="3A473DD7" w:rsidR="510CBEF7" w:rsidRDefault="510CBEF7" w:rsidP="510CBEF7">
      <w:pPr>
        <w:jc w:val="both"/>
      </w:pPr>
    </w:p>
    <w:p w14:paraId="34C2AA48" w14:textId="456FCBC6" w:rsidR="00CF2B11" w:rsidRPr="00542843" w:rsidRDefault="679CBA0D" w:rsidP="510CBEF7">
      <w:pPr>
        <w:jc w:val="both"/>
        <w:rPr>
          <w:color w:val="007F00"/>
        </w:rPr>
      </w:pPr>
      <w:r>
        <w:t>Topology by Munkres 2</w:t>
      </w:r>
      <w:r w:rsidRPr="510CBEF7">
        <w:rPr>
          <w:vertAlign w:val="superscript"/>
        </w:rPr>
        <w:t>nd</w:t>
      </w:r>
      <w:r>
        <w:t xml:space="preserve"> edition.</w:t>
      </w:r>
    </w:p>
    <w:p w14:paraId="386C9597" w14:textId="78BC6AE8" w:rsidR="00D56C10" w:rsidRDefault="00D56C10" w:rsidP="510CBEF7">
      <w:pPr>
        <w:jc w:val="both"/>
        <w:rPr>
          <w:color w:val="000000" w:themeColor="text1"/>
        </w:rPr>
      </w:pPr>
    </w:p>
    <w:p w14:paraId="4746315D" w14:textId="0133B9D3" w:rsidR="00845B86" w:rsidRPr="00845B86" w:rsidRDefault="00845B86" w:rsidP="510CBEF7">
      <w:pPr>
        <w:jc w:val="both"/>
        <w:rPr>
          <w:color w:val="000000" w:themeColor="text1"/>
        </w:rPr>
      </w:pPr>
      <w:r w:rsidRPr="510CBEF7">
        <w:rPr>
          <w:color w:val="000000" w:themeColor="text1"/>
        </w:rPr>
        <w:t xml:space="preserve">Students </w:t>
      </w:r>
      <w:r w:rsidR="00C62B7E" w:rsidRPr="510CBEF7">
        <w:rPr>
          <w:color w:val="000000" w:themeColor="text1"/>
        </w:rPr>
        <w:t>are responsible for</w:t>
      </w:r>
      <w:r w:rsidRPr="510CBEF7">
        <w:rPr>
          <w:color w:val="000000" w:themeColor="text1"/>
        </w:rPr>
        <w:t xml:space="preserve"> check</w:t>
      </w:r>
      <w:r w:rsidR="00C62B7E" w:rsidRPr="510CBEF7">
        <w:rPr>
          <w:color w:val="000000" w:themeColor="text1"/>
        </w:rPr>
        <w:t>ing the course</w:t>
      </w:r>
      <w:r w:rsidRPr="510CBEF7">
        <w:rPr>
          <w:color w:val="000000" w:themeColor="text1"/>
        </w:rPr>
        <w:t xml:space="preserve"> OWL</w:t>
      </w:r>
      <w:r w:rsidR="00C62B7E" w:rsidRPr="510CBEF7">
        <w:rPr>
          <w:color w:val="000000" w:themeColor="text1"/>
        </w:rPr>
        <w:t xml:space="preserve"> site</w:t>
      </w:r>
      <w:r w:rsidRPr="510CBEF7">
        <w:rPr>
          <w:color w:val="000000" w:themeColor="text1"/>
        </w:rPr>
        <w:t xml:space="preserve"> (</w:t>
      </w:r>
      <w:r w:rsidR="00814A9E" w:rsidRPr="510CBEF7">
        <w:rPr>
          <w:color w:val="0000FF"/>
        </w:rPr>
        <w:t>https://westernu.brightspace.com/</w:t>
      </w:r>
      <w:r w:rsidRPr="510CBEF7">
        <w:rPr>
          <w:color w:val="000000" w:themeColor="text1"/>
        </w:rPr>
        <w:t xml:space="preserve">) </w:t>
      </w:r>
      <w:r w:rsidR="009D571D" w:rsidRPr="510CBEF7">
        <w:rPr>
          <w:color w:val="000000" w:themeColor="text1"/>
        </w:rPr>
        <w:t>regularly</w:t>
      </w:r>
      <w:r w:rsidRPr="510CBEF7">
        <w:rPr>
          <w:color w:val="000000" w:themeColor="text1"/>
        </w:rPr>
        <w:t xml:space="preserve"> for news and updates.</w:t>
      </w:r>
      <w:r w:rsidR="00C62B7E" w:rsidRPr="510CBEF7">
        <w:rPr>
          <w:color w:val="000000" w:themeColor="text1"/>
        </w:rPr>
        <w:t xml:space="preserve"> </w:t>
      </w:r>
      <w:r w:rsidRPr="510CBEF7">
        <w:rPr>
          <w:color w:val="000000" w:themeColor="text1"/>
        </w:rPr>
        <w:t>This is the primary method by which information will be disseminated to all students in the class.</w:t>
      </w:r>
      <w:r w:rsidR="00AC7C0C" w:rsidRPr="510CBEF7">
        <w:rPr>
          <w:color w:val="000000" w:themeColor="text1"/>
        </w:rPr>
        <w:t xml:space="preserve"> </w:t>
      </w:r>
    </w:p>
    <w:p w14:paraId="5C41F26B" w14:textId="77777777" w:rsidR="008C038D" w:rsidRPr="008C038D" w:rsidRDefault="008C038D" w:rsidP="510CBEF7">
      <w:pPr>
        <w:jc w:val="both"/>
        <w:rPr>
          <w:color w:val="000000" w:themeColor="text1"/>
        </w:rPr>
      </w:pPr>
    </w:p>
    <w:p w14:paraId="575F6021" w14:textId="36879CA4" w:rsidR="008C038D" w:rsidRPr="00867AFD" w:rsidRDefault="008C038D" w:rsidP="510CBEF7">
      <w:pPr>
        <w:jc w:val="both"/>
        <w:rPr>
          <w:color w:val="000000" w:themeColor="text1"/>
        </w:rPr>
      </w:pPr>
      <w:r w:rsidRPr="510CBEF7">
        <w:rPr>
          <w:color w:val="000000" w:themeColor="text1"/>
        </w:rPr>
        <w:t>If students need assistance</w:t>
      </w:r>
      <w:r w:rsidR="00C62B7E" w:rsidRPr="510CBEF7">
        <w:rPr>
          <w:color w:val="000000" w:themeColor="text1"/>
        </w:rPr>
        <w:t xml:space="preserve"> with the course OWL site</w:t>
      </w:r>
      <w:r w:rsidRPr="510CBEF7">
        <w:rPr>
          <w:color w:val="000000" w:themeColor="text1"/>
        </w:rPr>
        <w:t xml:space="preserve">, they can seek support on the </w:t>
      </w:r>
      <w:hyperlink r:id="rId6">
        <w:r w:rsidRPr="510CBEF7">
          <w:rPr>
            <w:rStyle w:val="Hyperlink"/>
          </w:rPr>
          <w:t xml:space="preserve">OWL </w:t>
        </w:r>
        <w:r w:rsidR="007B44CF" w:rsidRPr="510CBEF7">
          <w:rPr>
            <w:rStyle w:val="Hyperlink"/>
          </w:rPr>
          <w:t xml:space="preserve">Brightspace </w:t>
        </w:r>
        <w:r w:rsidRPr="510CBEF7">
          <w:rPr>
            <w:rStyle w:val="Hyperlink"/>
          </w:rPr>
          <w:t>Help</w:t>
        </w:r>
      </w:hyperlink>
      <w:r w:rsidRPr="510CBEF7">
        <w:rPr>
          <w:color w:val="000000" w:themeColor="text1"/>
        </w:rPr>
        <w:t xml:space="preserve"> page.</w:t>
      </w:r>
      <w:r w:rsidR="00C62B7E" w:rsidRPr="510CBEF7">
        <w:rPr>
          <w:color w:val="000000" w:themeColor="text1"/>
        </w:rPr>
        <w:t xml:space="preserve"> </w:t>
      </w:r>
      <w:r w:rsidRPr="510CBEF7">
        <w:rPr>
          <w:color w:val="000000" w:themeColor="text1"/>
        </w:rPr>
        <w:t xml:space="preserve"> Alternatively, they can contact the Western Technology Services Helpdesk. </w:t>
      </w:r>
      <w:r w:rsidR="00C62B7E" w:rsidRPr="510CBEF7">
        <w:rPr>
          <w:color w:val="000000" w:themeColor="text1"/>
        </w:rPr>
        <w:t xml:space="preserve"> </w:t>
      </w:r>
      <w:r w:rsidRPr="510CBEF7">
        <w:rPr>
          <w:color w:val="000000" w:themeColor="text1"/>
        </w:rPr>
        <w:t>They can be contacted by phone at 519-661-3800 or ext. 83800.</w:t>
      </w:r>
    </w:p>
    <w:p w14:paraId="19A695E0" w14:textId="77777777" w:rsidR="007904F5" w:rsidRDefault="007904F5" w:rsidP="510CBEF7">
      <w:pPr>
        <w:jc w:val="both"/>
      </w:pPr>
    </w:p>
    <w:p w14:paraId="0943C7C5" w14:textId="77777777" w:rsidR="009F463E" w:rsidRPr="00D37DB0" w:rsidRDefault="009F463E" w:rsidP="510CBEF7">
      <w:pPr>
        <w:jc w:val="both"/>
        <w:rPr>
          <w:b/>
          <w:bCs/>
          <w:color w:val="000000" w:themeColor="text1"/>
        </w:rPr>
      </w:pPr>
      <w:r w:rsidRPr="510CBEF7">
        <w:rPr>
          <w:b/>
          <w:bCs/>
          <w:color w:val="000000" w:themeColor="text1"/>
        </w:rPr>
        <w:t>Technical Requirements</w:t>
      </w:r>
    </w:p>
    <w:p w14:paraId="54C494AD" w14:textId="2419F168" w:rsidR="00867AFD" w:rsidRPr="00E563ED" w:rsidRDefault="00867AFD" w:rsidP="510CBEF7">
      <w:pPr>
        <w:jc w:val="both"/>
        <w:rPr>
          <w:color w:val="000000" w:themeColor="text1"/>
        </w:rPr>
      </w:pPr>
    </w:p>
    <w:p w14:paraId="5C035B9F" w14:textId="3116CC2A" w:rsidR="00867AFD" w:rsidRPr="00E563ED" w:rsidRDefault="31523310" w:rsidP="510CBEF7">
      <w:pPr>
        <w:jc w:val="both"/>
        <w:rPr>
          <w:color w:val="000000" w:themeColor="text1"/>
        </w:rPr>
      </w:pPr>
      <w:r w:rsidRPr="510CBEF7">
        <w:rPr>
          <w:color w:val="000000" w:themeColor="text1"/>
        </w:rPr>
        <w:t>Internet connection.</w:t>
      </w:r>
    </w:p>
    <w:p w14:paraId="5713405B" w14:textId="4E74CCF7" w:rsidR="00867AFD" w:rsidRPr="00E563ED" w:rsidRDefault="00867AFD" w:rsidP="510CBEF7">
      <w:pPr>
        <w:jc w:val="both"/>
        <w:rPr>
          <w:b/>
          <w:bCs/>
          <w:color w:val="000000" w:themeColor="text1"/>
        </w:rPr>
      </w:pPr>
    </w:p>
    <w:p w14:paraId="0A444BCC" w14:textId="70D54A95" w:rsidR="00B451DA" w:rsidRDefault="00B451DA" w:rsidP="510CBEF7">
      <w:pPr>
        <w:jc w:val="both"/>
        <w:rPr>
          <w:color w:val="0432FF"/>
        </w:rPr>
      </w:pPr>
      <w:r w:rsidRPr="510CBEF7">
        <w:rPr>
          <w:b/>
          <w:bCs/>
          <w:sz w:val="36"/>
          <w:szCs w:val="36"/>
        </w:rPr>
        <w:t>5. Methods of Evaluation</w:t>
      </w:r>
    </w:p>
    <w:p w14:paraId="571CD465" w14:textId="77777777" w:rsidR="00B451DA" w:rsidRDefault="00B451DA" w:rsidP="510CBEF7">
      <w:pPr>
        <w:jc w:val="both"/>
        <w:rPr>
          <w:color w:val="0432FF"/>
        </w:rPr>
      </w:pPr>
    </w:p>
    <w:p w14:paraId="3F069E49" w14:textId="7DF709DB" w:rsidR="00681697" w:rsidRPr="00E563ED" w:rsidRDefault="00CA408D" w:rsidP="510CBEF7">
      <w:pPr>
        <w:jc w:val="both"/>
        <w:rPr>
          <w:color w:val="007F00"/>
        </w:rPr>
      </w:pPr>
      <w:r w:rsidRPr="510CBEF7">
        <w:rPr>
          <w:b/>
          <w:bCs/>
        </w:rPr>
        <w:t>Grading Scheme and Assessment Dates</w:t>
      </w:r>
    </w:p>
    <w:p w14:paraId="7BF331EE" w14:textId="77777777" w:rsidR="00681697" w:rsidRDefault="00681697" w:rsidP="510CBEF7">
      <w:pPr>
        <w:jc w:val="both"/>
      </w:pPr>
    </w:p>
    <w:p w14:paraId="286A470C" w14:textId="5438A888" w:rsidR="004F4F29" w:rsidRDefault="004F4F29" w:rsidP="510CBEF7">
      <w:pPr>
        <w:jc w:val="both"/>
      </w:pPr>
      <w:r>
        <w:t xml:space="preserve">The overall course grade will be calculated as listed below: </w:t>
      </w:r>
    </w:p>
    <w:p w14:paraId="76FD13F6" w14:textId="390DD79B" w:rsidR="00A915C7" w:rsidRDefault="00A915C7" w:rsidP="510CBEF7">
      <w:pPr>
        <w:jc w:val="both"/>
      </w:pPr>
      <w:r>
        <w:t>Quizzes (</w:t>
      </w:r>
      <w:r w:rsidR="2F2B4995">
        <w:t>6</w:t>
      </w:r>
      <w:r w:rsidR="364452A4">
        <w:t>)</w:t>
      </w:r>
      <w:r>
        <w:tab/>
      </w:r>
      <w:r>
        <w:tab/>
      </w:r>
      <w:r w:rsidR="0A274041">
        <w:t>30</w:t>
      </w:r>
      <w:r>
        <w:t>%</w:t>
      </w:r>
      <w:r>
        <w:tab/>
      </w:r>
    </w:p>
    <w:p w14:paraId="41A07FFC" w14:textId="4D6C592B" w:rsidR="004F4F29" w:rsidRDefault="004F4F29" w:rsidP="510CBEF7">
      <w:pPr>
        <w:jc w:val="both"/>
      </w:pPr>
      <w:r>
        <w:t xml:space="preserve">Midterm </w:t>
      </w:r>
      <w:r w:rsidR="009F1F74">
        <w:t>Test</w:t>
      </w:r>
      <w:r>
        <w:tab/>
      </w:r>
      <w:r>
        <w:tab/>
      </w:r>
      <w:r w:rsidR="7E4C691F">
        <w:t>20</w:t>
      </w:r>
      <w:r>
        <w:t>%</w:t>
      </w:r>
    </w:p>
    <w:p w14:paraId="74727A41" w14:textId="5463732A" w:rsidR="00637E77" w:rsidRDefault="47E241CF" w:rsidP="510CBEF7">
      <w:pPr>
        <w:spacing w:line="259" w:lineRule="auto"/>
        <w:jc w:val="both"/>
      </w:pPr>
      <w:r>
        <w:t>Participation</w:t>
      </w:r>
      <w:r w:rsidR="00637E77">
        <w:tab/>
      </w:r>
      <w:r w:rsidR="00637E77">
        <w:tab/>
      </w:r>
      <w:r w:rsidR="42718CD5">
        <w:t>10</w:t>
      </w:r>
      <w:r w:rsidR="00637E77">
        <w:t>%</w:t>
      </w:r>
    </w:p>
    <w:p w14:paraId="3600FC62" w14:textId="5E0255AC" w:rsidR="00C22C65" w:rsidRDefault="004F4F29" w:rsidP="510CBEF7">
      <w:pPr>
        <w:jc w:val="both"/>
      </w:pPr>
      <w:r>
        <w:t>Final Exam</w:t>
      </w:r>
      <w:r w:rsidR="00C22C65">
        <w:tab/>
      </w:r>
      <w:r w:rsidR="00C22C65">
        <w:tab/>
      </w:r>
      <w:r w:rsidR="5096CCCF">
        <w:t>40</w:t>
      </w:r>
      <w:r>
        <w:t>%</w:t>
      </w:r>
    </w:p>
    <w:p w14:paraId="7358C59B" w14:textId="4C07F172" w:rsidR="510CBEF7" w:rsidRDefault="510CBEF7" w:rsidP="510CBEF7">
      <w:pPr>
        <w:jc w:val="both"/>
      </w:pPr>
    </w:p>
    <w:p w14:paraId="5D6CB14D" w14:textId="77777777" w:rsidR="00A84E86" w:rsidRDefault="00A84E86" w:rsidP="510CBEF7">
      <w:pPr>
        <w:jc w:val="both"/>
        <w:rPr>
          <w:b/>
          <w:bCs/>
        </w:rPr>
      </w:pPr>
    </w:p>
    <w:p w14:paraId="6B7FD34E" w14:textId="262993E9" w:rsidR="510CBEF7" w:rsidRDefault="510CBEF7" w:rsidP="510CBEF7">
      <w:pPr>
        <w:jc w:val="both"/>
        <w:rPr>
          <w:b/>
          <w:bCs/>
        </w:rPr>
      </w:pPr>
    </w:p>
    <w:p w14:paraId="12923907" w14:textId="6FD1C482" w:rsidR="00CA408D" w:rsidRPr="00CA408D" w:rsidRDefault="0025296D" w:rsidP="510CBEF7">
      <w:pPr>
        <w:jc w:val="both"/>
        <w:rPr>
          <w:color w:val="FF0000"/>
        </w:rPr>
      </w:pPr>
      <w:r w:rsidRPr="510CBEF7">
        <w:rPr>
          <w:b/>
          <w:bCs/>
        </w:rPr>
        <w:t>General information about missed coursework</w:t>
      </w:r>
    </w:p>
    <w:p w14:paraId="7E895BED" w14:textId="19208E54" w:rsidR="510CBEF7" w:rsidRDefault="510CBEF7" w:rsidP="510CBEF7">
      <w:pPr>
        <w:jc w:val="both"/>
        <w:rPr>
          <w:b/>
          <w:bCs/>
        </w:rPr>
      </w:pPr>
    </w:p>
    <w:p w14:paraId="5FAA0807" w14:textId="79CB6D66" w:rsidR="0025296D" w:rsidRPr="0025296D" w:rsidRDefault="0025296D" w:rsidP="510CBEF7">
      <w:pPr>
        <w:jc w:val="both"/>
        <w:rPr>
          <w:color w:val="000000" w:themeColor="text1"/>
          <w:lang w:val="en-US"/>
        </w:rPr>
      </w:pPr>
      <w:r w:rsidRPr="510CBEF7">
        <w:rPr>
          <w:color w:val="000000" w:themeColor="text1"/>
          <w:lang w:val="en-US"/>
        </w:rPr>
        <w:lastRenderedPageBreak/>
        <w:t>Student</w:t>
      </w:r>
      <w:r w:rsidR="00FF3C4E" w:rsidRPr="510CBEF7">
        <w:rPr>
          <w:color w:val="000000" w:themeColor="text1"/>
          <w:lang w:val="en-US"/>
        </w:rPr>
        <w:t>s</w:t>
      </w:r>
      <w:r w:rsidRPr="510CBEF7">
        <w:rPr>
          <w:color w:val="000000" w:themeColor="text1"/>
          <w:lang w:val="en-US"/>
        </w:rPr>
        <w:t xml:space="preserve"> must familiarize themselves with the </w:t>
      </w:r>
      <w:r w:rsidRPr="510CBEF7">
        <w:rPr>
          <w:i/>
          <w:iCs/>
          <w:color w:val="000000" w:themeColor="text1"/>
          <w:lang w:val="en-US"/>
        </w:rPr>
        <w:t>University Policy on Academic Consideration – Undergraduate Students</w:t>
      </w:r>
      <w:r w:rsidR="00657692" w:rsidRPr="510CBEF7">
        <w:rPr>
          <w:i/>
          <w:iCs/>
          <w:color w:val="000000" w:themeColor="text1"/>
          <w:lang w:val="en-US"/>
        </w:rPr>
        <w:t xml:space="preserve"> in First Entry Programs</w:t>
      </w:r>
      <w:r w:rsidR="00AC24C1" w:rsidRPr="510CBEF7">
        <w:rPr>
          <w:i/>
          <w:iCs/>
          <w:color w:val="000000" w:themeColor="text1"/>
          <w:lang w:val="en-US"/>
        </w:rPr>
        <w:t>,</w:t>
      </w:r>
      <w:r w:rsidRPr="510CBEF7">
        <w:rPr>
          <w:color w:val="000000" w:themeColor="text1"/>
          <w:lang w:val="en-US"/>
        </w:rPr>
        <w:t xml:space="preserve"> posted on the Academic Calendar:</w:t>
      </w:r>
    </w:p>
    <w:p w14:paraId="1C91AD51" w14:textId="461B4366" w:rsidR="0025296D" w:rsidRDefault="0025296D" w:rsidP="510CBEF7">
      <w:pPr>
        <w:jc w:val="both"/>
        <w:rPr>
          <w:color w:val="007F00"/>
          <w:lang w:val="en-US"/>
        </w:rPr>
      </w:pPr>
      <w:hyperlink r:id="rId7">
        <w:r w:rsidRPr="510CBEF7">
          <w:rPr>
            <w:rStyle w:val="Hyperlink"/>
            <w:lang w:val="en-US"/>
          </w:rPr>
          <w:t>https://www.uwo.ca/univsec/pdf/academic_policies/appeals/academic_consideration_Sep24.pdf</w:t>
        </w:r>
      </w:hyperlink>
      <w:r w:rsidRPr="510CBEF7">
        <w:rPr>
          <w:color w:val="007F00"/>
          <w:lang w:val="en-US"/>
        </w:rPr>
        <w:t xml:space="preserve">, </w:t>
      </w:r>
    </w:p>
    <w:p w14:paraId="0ABCA1DE" w14:textId="77777777" w:rsidR="00355D1E" w:rsidRDefault="00355D1E" w:rsidP="510CBEF7">
      <w:pPr>
        <w:jc w:val="both"/>
        <w:rPr>
          <w:color w:val="000000" w:themeColor="text1"/>
          <w:lang w:val="en-US"/>
        </w:rPr>
      </w:pPr>
    </w:p>
    <w:p w14:paraId="235CBD65" w14:textId="77777777" w:rsidR="00B66E0A" w:rsidRDefault="38FCC599" w:rsidP="510CBEF7">
      <w:pPr>
        <w:jc w:val="both"/>
        <w:rPr>
          <w:color w:val="000000" w:themeColor="text1"/>
          <w:lang w:val="en-US"/>
        </w:rPr>
      </w:pPr>
      <w:r w:rsidRPr="510CBEF7">
        <w:rPr>
          <w:color w:val="000000" w:themeColor="text1"/>
          <w:lang w:val="en-US"/>
        </w:rPr>
        <w:t xml:space="preserve">This policy does not apply to requests for </w:t>
      </w:r>
      <w:r w:rsidR="4AA54702" w:rsidRPr="510CBEF7">
        <w:rPr>
          <w:color w:val="000000" w:themeColor="text1"/>
          <w:lang w:val="en-US"/>
        </w:rPr>
        <w:t>A</w:t>
      </w:r>
      <w:r w:rsidRPr="510CBEF7">
        <w:rPr>
          <w:color w:val="000000" w:themeColor="text1"/>
          <w:lang w:val="en-US"/>
        </w:rPr>
        <w:t xml:space="preserve">cademic </w:t>
      </w:r>
      <w:r w:rsidR="4AA54702" w:rsidRPr="510CBEF7">
        <w:rPr>
          <w:color w:val="000000" w:themeColor="text1"/>
          <w:lang w:val="en-US"/>
        </w:rPr>
        <w:t>C</w:t>
      </w:r>
      <w:r w:rsidRPr="510CBEF7">
        <w:rPr>
          <w:color w:val="000000" w:themeColor="text1"/>
          <w:lang w:val="en-US"/>
        </w:rPr>
        <w:t xml:space="preserve">onsideration submitted for </w:t>
      </w:r>
      <w:r w:rsidRPr="510CBEF7">
        <w:rPr>
          <w:b/>
          <w:bCs/>
          <w:color w:val="000000" w:themeColor="text1"/>
          <w:lang w:val="en-US"/>
        </w:rPr>
        <w:t>attempted or completed work</w:t>
      </w:r>
      <w:r w:rsidRPr="510CBEF7">
        <w:rPr>
          <w:color w:val="000000" w:themeColor="text1"/>
          <w:lang w:val="en-US"/>
        </w:rPr>
        <w:t>, whether online or in</w:t>
      </w:r>
      <w:r w:rsidR="07EE0094" w:rsidRPr="510CBEF7">
        <w:rPr>
          <w:color w:val="000000" w:themeColor="text1"/>
          <w:lang w:val="en-US"/>
        </w:rPr>
        <w:t xml:space="preserve"> </w:t>
      </w:r>
      <w:r w:rsidRPr="510CBEF7">
        <w:rPr>
          <w:color w:val="000000" w:themeColor="text1"/>
          <w:lang w:val="en-US"/>
        </w:rPr>
        <w:t>person.</w:t>
      </w:r>
      <w:r w:rsidR="4A8521BE" w:rsidRPr="510CBEF7">
        <w:rPr>
          <w:color w:val="000000" w:themeColor="text1"/>
          <w:lang w:val="en-US"/>
        </w:rPr>
        <w:t xml:space="preserve"> </w:t>
      </w:r>
    </w:p>
    <w:p w14:paraId="59272E6C" w14:textId="77777777" w:rsidR="00B66E0A" w:rsidRDefault="00B66E0A" w:rsidP="510CBEF7">
      <w:pPr>
        <w:jc w:val="both"/>
        <w:rPr>
          <w:color w:val="000000" w:themeColor="text1"/>
          <w:lang w:val="en-US"/>
        </w:rPr>
      </w:pPr>
    </w:p>
    <w:p w14:paraId="278F5480" w14:textId="48FAA005" w:rsidR="007A02FE" w:rsidRDefault="04CC3E15" w:rsidP="510CBEF7">
      <w:pPr>
        <w:jc w:val="both"/>
        <w:rPr>
          <w:color w:val="000000" w:themeColor="text1"/>
          <w:lang w:val="en-US"/>
        </w:rPr>
      </w:pPr>
      <w:r w:rsidRPr="510CBEF7">
        <w:rPr>
          <w:color w:val="000000" w:themeColor="text1"/>
          <w:lang w:val="en-US"/>
        </w:rPr>
        <w:t xml:space="preserve">The policy also does not apply to </w:t>
      </w:r>
      <w:r w:rsidRPr="510CBEF7">
        <w:rPr>
          <w:color w:val="000000" w:themeColor="text1"/>
        </w:rPr>
        <w:t>s</w:t>
      </w:r>
      <w:r w:rsidR="4A8521BE" w:rsidRPr="510CBEF7">
        <w:rPr>
          <w:color w:val="000000" w:themeColor="text1"/>
        </w:rPr>
        <w:t>tudents experiencing longer-term impacts on their academic responsibilities</w:t>
      </w:r>
      <w:r w:rsidR="594B2ABA" w:rsidRPr="510CBEF7">
        <w:rPr>
          <w:color w:val="000000" w:themeColor="text1"/>
        </w:rPr>
        <w:t>. T</w:t>
      </w:r>
      <w:r w:rsidRPr="510CBEF7">
        <w:rPr>
          <w:color w:val="000000" w:themeColor="text1"/>
        </w:rPr>
        <w:t>he</w:t>
      </w:r>
      <w:r w:rsidR="5AAC9B92" w:rsidRPr="510CBEF7">
        <w:rPr>
          <w:color w:val="000000" w:themeColor="text1"/>
        </w:rPr>
        <w:t>se students</w:t>
      </w:r>
      <w:r w:rsidR="4A8521BE" w:rsidRPr="510CBEF7">
        <w:rPr>
          <w:color w:val="000000" w:themeColor="text1"/>
        </w:rPr>
        <w:t xml:space="preserve"> should consult </w:t>
      </w:r>
      <w:hyperlink r:id="rId8">
        <w:r w:rsidR="4A8521BE" w:rsidRPr="510CBEF7">
          <w:rPr>
            <w:rStyle w:val="Hyperlink"/>
          </w:rPr>
          <w:t>Accessible Education</w:t>
        </w:r>
      </w:hyperlink>
      <w:r w:rsidR="6990CFA8" w:rsidRPr="510CBEF7">
        <w:rPr>
          <w:color w:val="000000" w:themeColor="text1"/>
        </w:rPr>
        <w:t>.</w:t>
      </w:r>
    </w:p>
    <w:p w14:paraId="022CE3B8" w14:textId="77777777" w:rsidR="007A02FE" w:rsidRDefault="007A02FE" w:rsidP="510CBEF7">
      <w:pPr>
        <w:jc w:val="both"/>
        <w:rPr>
          <w:color w:val="000000" w:themeColor="text1"/>
          <w:lang w:val="en-US"/>
        </w:rPr>
      </w:pPr>
    </w:p>
    <w:p w14:paraId="19DD466D" w14:textId="6B8ECB75" w:rsidR="0025296D" w:rsidRDefault="0025296D" w:rsidP="510CBEF7">
      <w:pPr>
        <w:jc w:val="both"/>
        <w:rPr>
          <w:color w:val="000000" w:themeColor="text1"/>
        </w:rPr>
      </w:pPr>
      <w:r w:rsidRPr="510CBEF7">
        <w:rPr>
          <w:color w:val="000000" w:themeColor="text1"/>
          <w:lang w:val="en-US"/>
        </w:rPr>
        <w:t>For procedures on how to submit Academic Consideration requests, please see the information posted on the Office of the Registrar’s webpage:</w:t>
      </w:r>
      <w:r w:rsidR="79275CC7" w:rsidRPr="510CBEF7">
        <w:rPr>
          <w:color w:val="000000" w:themeColor="text1"/>
          <w:lang w:val="en-US"/>
        </w:rPr>
        <w:t xml:space="preserve"> </w:t>
      </w:r>
      <w:hyperlink r:id="rId9">
        <w:r w:rsidR="24FC08D0" w:rsidRPr="510CBEF7">
          <w:rPr>
            <w:rStyle w:val="Hyperlink"/>
          </w:rPr>
          <w:t>https://registrar.uwo.ca/academics/academic_considerations/</w:t>
        </w:r>
      </w:hyperlink>
      <w:r w:rsidR="24FC08D0" w:rsidRPr="510CBEF7">
        <w:rPr>
          <w:color w:val="000000" w:themeColor="text1"/>
        </w:rPr>
        <w:t xml:space="preserve"> </w:t>
      </w:r>
    </w:p>
    <w:p w14:paraId="12FD4A8E" w14:textId="71FE77DD" w:rsidR="00812BA0" w:rsidRPr="00812BA0" w:rsidRDefault="00812BA0" w:rsidP="510CBEF7">
      <w:pPr>
        <w:jc w:val="both"/>
        <w:rPr>
          <w:color w:val="000000" w:themeColor="text1"/>
        </w:rPr>
      </w:pPr>
      <w:r w:rsidRPr="510CBEF7">
        <w:rPr>
          <w:color w:val="000000" w:themeColor="text1"/>
        </w:rPr>
        <w:t xml:space="preserve">All requests for Academic Consideration must be made within 48 hours after the </w:t>
      </w:r>
      <w:r w:rsidR="0083099C" w:rsidRPr="510CBEF7">
        <w:rPr>
          <w:color w:val="000000" w:themeColor="text1"/>
        </w:rPr>
        <w:t xml:space="preserve">assessment date or submission </w:t>
      </w:r>
      <w:r w:rsidRPr="510CBEF7">
        <w:rPr>
          <w:color w:val="000000" w:themeColor="text1"/>
        </w:rPr>
        <w:t xml:space="preserve">deadline. </w:t>
      </w:r>
    </w:p>
    <w:p w14:paraId="084DBF8E" w14:textId="77777777" w:rsidR="00CA408D" w:rsidRPr="00657692" w:rsidRDefault="00CA408D" w:rsidP="510CBEF7">
      <w:pPr>
        <w:jc w:val="both"/>
        <w:rPr>
          <w:color w:val="000000" w:themeColor="text1"/>
        </w:rPr>
      </w:pPr>
    </w:p>
    <w:p w14:paraId="283EC175" w14:textId="01909C85" w:rsidR="00DE4ECE" w:rsidRDefault="39C83EB5" w:rsidP="510CBEF7">
      <w:pPr>
        <w:jc w:val="both"/>
        <w:rPr>
          <w:color w:val="000000" w:themeColor="text1"/>
        </w:rPr>
      </w:pPr>
      <w:r w:rsidRPr="510CBEF7">
        <w:rPr>
          <w:color w:val="000000" w:themeColor="text1"/>
        </w:rPr>
        <w:t>A</w:t>
      </w:r>
      <w:r w:rsidR="13D03E06" w:rsidRPr="510CBEF7">
        <w:rPr>
          <w:color w:val="000000" w:themeColor="text1"/>
        </w:rPr>
        <w:t xml:space="preserve">ll </w:t>
      </w:r>
      <w:r w:rsidR="00133718" w:rsidRPr="510CBEF7">
        <w:rPr>
          <w:color w:val="000000" w:themeColor="text1"/>
        </w:rPr>
        <w:t>A</w:t>
      </w:r>
      <w:r w:rsidR="13D03E06" w:rsidRPr="510CBEF7">
        <w:rPr>
          <w:color w:val="000000" w:themeColor="text1"/>
        </w:rPr>
        <w:t xml:space="preserve">cademic </w:t>
      </w:r>
      <w:r w:rsidR="00133718" w:rsidRPr="510CBEF7">
        <w:rPr>
          <w:color w:val="000000" w:themeColor="text1"/>
        </w:rPr>
        <w:t>C</w:t>
      </w:r>
      <w:r w:rsidR="13D03E06" w:rsidRPr="510CBEF7">
        <w:rPr>
          <w:color w:val="000000" w:themeColor="text1"/>
        </w:rPr>
        <w:t>onsideration requests must include supporting documentation</w:t>
      </w:r>
      <w:r w:rsidRPr="510CBEF7">
        <w:rPr>
          <w:color w:val="000000" w:themeColor="text1"/>
        </w:rPr>
        <w:t>; however,</w:t>
      </w:r>
      <w:r w:rsidR="13D03E06" w:rsidRPr="510CBEF7">
        <w:rPr>
          <w:color w:val="000000" w:themeColor="text1"/>
        </w:rPr>
        <w:t xml:space="preserve"> </w:t>
      </w:r>
      <w:r w:rsidRPr="510CBEF7">
        <w:rPr>
          <w:color w:val="000000" w:themeColor="text1"/>
        </w:rPr>
        <w:t>r</w:t>
      </w:r>
      <w:r w:rsidR="13D03E06" w:rsidRPr="510CBEF7">
        <w:rPr>
          <w:color w:val="000000" w:themeColor="text1"/>
        </w:rPr>
        <w:t xml:space="preserve">ecognizing that </w:t>
      </w:r>
      <w:r w:rsidR="299ABB6C" w:rsidRPr="510CBEF7">
        <w:rPr>
          <w:color w:val="000000" w:themeColor="text1"/>
        </w:rPr>
        <w:t xml:space="preserve">formal </w:t>
      </w:r>
      <w:r w:rsidR="13D03E06" w:rsidRPr="510CBEF7">
        <w:rPr>
          <w:color w:val="000000" w:themeColor="text1"/>
        </w:rPr>
        <w:t xml:space="preserve">documentation may not be available in some extenuating circumstances, the policy allows students to make </w:t>
      </w:r>
      <w:r w:rsidR="13D03E06" w:rsidRPr="510CBEF7">
        <w:rPr>
          <w:color w:val="000000" w:themeColor="text1"/>
          <w:u w:val="single"/>
        </w:rPr>
        <w:t>one</w:t>
      </w:r>
      <w:r w:rsidR="13D03E06" w:rsidRPr="510CBEF7">
        <w:rPr>
          <w:color w:val="000000" w:themeColor="text1"/>
        </w:rPr>
        <w:t xml:space="preserve"> Academic Consideration request </w:t>
      </w:r>
      <w:r w:rsidR="13D03E06" w:rsidRPr="510CBEF7">
        <w:rPr>
          <w:b/>
          <w:bCs/>
          <w:color w:val="000000" w:themeColor="text1"/>
        </w:rPr>
        <w:t>without supporting documentation</w:t>
      </w:r>
      <w:r w:rsidR="13D03E06" w:rsidRPr="510CBEF7">
        <w:rPr>
          <w:color w:val="000000" w:themeColor="text1"/>
        </w:rPr>
        <w:t xml:space="preserve"> in this</w:t>
      </w:r>
      <w:r w:rsidR="7E525CC8" w:rsidRPr="510CBEF7">
        <w:rPr>
          <w:color w:val="000000" w:themeColor="text1"/>
        </w:rPr>
        <w:t xml:space="preserve"> course</w:t>
      </w:r>
      <w:r w:rsidR="13D03E06" w:rsidRPr="510CBEF7">
        <w:rPr>
          <w:color w:val="000000" w:themeColor="text1"/>
        </w:rPr>
        <w:t>. However, the fo</w:t>
      </w:r>
      <w:r w:rsidR="299ABB6C" w:rsidRPr="510CBEF7">
        <w:rPr>
          <w:color w:val="000000" w:themeColor="text1"/>
        </w:rPr>
        <w:t>llowing assessments are excluded from this, and therefore always require formal supporting documentation:</w:t>
      </w:r>
    </w:p>
    <w:p w14:paraId="06F8F538" w14:textId="5ADEB4A8" w:rsidR="28CAD7E3" w:rsidRDefault="28CAD7E3" w:rsidP="510CBEF7">
      <w:pPr>
        <w:pStyle w:val="ListParagraph"/>
        <w:numPr>
          <w:ilvl w:val="0"/>
          <w:numId w:val="1"/>
        </w:numPr>
        <w:jc w:val="both"/>
        <w:rPr>
          <w:color w:val="000000" w:themeColor="text1"/>
        </w:rPr>
      </w:pPr>
      <w:r w:rsidRPr="510CBEF7">
        <w:rPr>
          <w:color w:val="000000" w:themeColor="text1"/>
        </w:rPr>
        <w:t>Final</w:t>
      </w:r>
    </w:p>
    <w:p w14:paraId="3CAF834A" w14:textId="5B50DE2F" w:rsidR="28CAD7E3" w:rsidRDefault="28CAD7E3" w:rsidP="510CBEF7">
      <w:pPr>
        <w:pStyle w:val="ListParagraph"/>
        <w:numPr>
          <w:ilvl w:val="0"/>
          <w:numId w:val="1"/>
        </w:numPr>
        <w:jc w:val="both"/>
        <w:rPr>
          <w:color w:val="000000" w:themeColor="text1"/>
        </w:rPr>
      </w:pPr>
      <w:r w:rsidRPr="510CBEF7">
        <w:rPr>
          <w:color w:val="000000" w:themeColor="text1"/>
        </w:rPr>
        <w:t>Midterm</w:t>
      </w:r>
    </w:p>
    <w:p w14:paraId="3C10DF7D" w14:textId="68733ED8" w:rsidR="008E4055" w:rsidRDefault="500D0CAB" w:rsidP="510CBEF7">
      <w:pPr>
        <w:jc w:val="both"/>
        <w:rPr>
          <w:color w:val="000000" w:themeColor="text1"/>
        </w:rPr>
      </w:pPr>
      <w:r w:rsidRPr="510CBEF7">
        <w:rPr>
          <w:color w:val="000000" w:themeColor="text1"/>
        </w:rPr>
        <w:t>When</w:t>
      </w:r>
      <w:r w:rsidR="67DF503C" w:rsidRPr="510CBEF7">
        <w:rPr>
          <w:color w:val="000000" w:themeColor="text1"/>
        </w:rPr>
        <w:t xml:space="preserve"> </w:t>
      </w:r>
      <w:r w:rsidR="774F6C3F" w:rsidRPr="510CBEF7">
        <w:rPr>
          <w:color w:val="000000" w:themeColor="text1"/>
        </w:rPr>
        <w:t>a</w:t>
      </w:r>
      <w:r w:rsidR="67DF503C" w:rsidRPr="510CBEF7">
        <w:rPr>
          <w:color w:val="000000" w:themeColor="text1"/>
        </w:rPr>
        <w:t xml:space="preserve"> student </w:t>
      </w:r>
      <w:r w:rsidR="0169CF09" w:rsidRPr="510CBEF7">
        <w:rPr>
          <w:i/>
          <w:iCs/>
          <w:color w:val="000000" w:themeColor="text1"/>
          <w:u w:val="single"/>
        </w:rPr>
        <w:t>mistakenly</w:t>
      </w:r>
      <w:r w:rsidR="0169CF09" w:rsidRPr="510CBEF7">
        <w:rPr>
          <w:color w:val="000000" w:themeColor="text1"/>
        </w:rPr>
        <w:t xml:space="preserve"> </w:t>
      </w:r>
      <w:r w:rsidR="2DD68636" w:rsidRPr="510CBEF7">
        <w:rPr>
          <w:color w:val="000000" w:themeColor="text1"/>
        </w:rPr>
        <w:t>submit</w:t>
      </w:r>
      <w:r w:rsidR="68B032BE" w:rsidRPr="510CBEF7">
        <w:rPr>
          <w:color w:val="000000" w:themeColor="text1"/>
        </w:rPr>
        <w:t>s</w:t>
      </w:r>
      <w:r w:rsidR="2DD68636" w:rsidRPr="510CBEF7">
        <w:rPr>
          <w:color w:val="000000" w:themeColor="text1"/>
        </w:rPr>
        <w:t xml:space="preserve"> their </w:t>
      </w:r>
      <w:r w:rsidR="2DD68636" w:rsidRPr="510CBEF7">
        <w:rPr>
          <w:color w:val="000000" w:themeColor="text1"/>
          <w:u w:val="single"/>
        </w:rPr>
        <w:t>one</w:t>
      </w:r>
      <w:r w:rsidR="2DD68636" w:rsidRPr="510CBEF7">
        <w:rPr>
          <w:color w:val="000000" w:themeColor="text1"/>
        </w:rPr>
        <w:t xml:space="preserve"> allowed Academic Consideration request </w:t>
      </w:r>
      <w:r w:rsidR="2DD68636" w:rsidRPr="510CBEF7">
        <w:rPr>
          <w:b/>
          <w:bCs/>
          <w:color w:val="000000" w:themeColor="text1"/>
        </w:rPr>
        <w:t>without</w:t>
      </w:r>
      <w:r w:rsidR="2DC713AB" w:rsidRPr="510CBEF7">
        <w:rPr>
          <w:b/>
          <w:bCs/>
          <w:color w:val="000000" w:themeColor="text1"/>
        </w:rPr>
        <w:t xml:space="preserve"> </w:t>
      </w:r>
      <w:r w:rsidR="2DD68636" w:rsidRPr="510CBEF7">
        <w:rPr>
          <w:b/>
          <w:bCs/>
          <w:color w:val="000000" w:themeColor="text1"/>
        </w:rPr>
        <w:t>supporting documentation</w:t>
      </w:r>
      <w:r w:rsidR="2DD68636" w:rsidRPr="510CBEF7">
        <w:rPr>
          <w:color w:val="000000" w:themeColor="text1"/>
        </w:rPr>
        <w:t xml:space="preserve"> </w:t>
      </w:r>
      <w:r w:rsidR="774F6C3F" w:rsidRPr="510CBEF7">
        <w:rPr>
          <w:color w:val="000000" w:themeColor="text1"/>
        </w:rPr>
        <w:t xml:space="preserve">for the </w:t>
      </w:r>
      <w:r w:rsidR="344B81A5" w:rsidRPr="510CBEF7">
        <w:rPr>
          <w:color w:val="000000" w:themeColor="text1"/>
        </w:rPr>
        <w:t xml:space="preserve">assessments </w:t>
      </w:r>
      <w:r w:rsidR="744F1201" w:rsidRPr="510CBEF7">
        <w:rPr>
          <w:color w:val="000000" w:themeColor="text1"/>
        </w:rPr>
        <w:t xml:space="preserve">listed </w:t>
      </w:r>
      <w:r w:rsidR="774F6C3F" w:rsidRPr="510CBEF7">
        <w:rPr>
          <w:color w:val="000000" w:themeColor="text1"/>
        </w:rPr>
        <w:t>above or th</w:t>
      </w:r>
      <w:r w:rsidR="7ABEABC5" w:rsidRPr="510CBEF7">
        <w:rPr>
          <w:color w:val="000000" w:themeColor="text1"/>
        </w:rPr>
        <w:t>ose in the</w:t>
      </w:r>
      <w:r w:rsidR="7ABEABC5">
        <w:t xml:space="preserve"> </w:t>
      </w:r>
      <w:r w:rsidR="7ABEABC5" w:rsidRPr="510CBEF7">
        <w:rPr>
          <w:b/>
          <w:bCs/>
          <w:color w:val="000000" w:themeColor="text1"/>
        </w:rPr>
        <w:t>Coursework with Assessment Flexibility</w:t>
      </w:r>
      <w:r w:rsidR="774F6C3F" w:rsidRPr="510CBEF7">
        <w:rPr>
          <w:color w:val="000000" w:themeColor="text1"/>
        </w:rPr>
        <w:t xml:space="preserve"> </w:t>
      </w:r>
      <w:r w:rsidR="7ABEABC5" w:rsidRPr="510CBEF7">
        <w:rPr>
          <w:color w:val="000000" w:themeColor="text1"/>
        </w:rPr>
        <w:t>section</w:t>
      </w:r>
      <w:r w:rsidR="53A383CF" w:rsidRPr="510CBEF7">
        <w:rPr>
          <w:color w:val="000000" w:themeColor="text1"/>
        </w:rPr>
        <w:t xml:space="preserve"> below</w:t>
      </w:r>
      <w:r w:rsidR="7ABEABC5" w:rsidRPr="510CBEF7">
        <w:rPr>
          <w:color w:val="000000" w:themeColor="text1"/>
        </w:rPr>
        <w:t xml:space="preserve">, </w:t>
      </w:r>
      <w:r w:rsidR="49B66993" w:rsidRPr="510CBEF7">
        <w:rPr>
          <w:color w:val="000000" w:themeColor="text1"/>
          <w:u w:val="single"/>
        </w:rPr>
        <w:t>t</w:t>
      </w:r>
      <w:r w:rsidR="070C1E82" w:rsidRPr="510CBEF7">
        <w:rPr>
          <w:color w:val="000000" w:themeColor="text1"/>
          <w:u w:val="single"/>
        </w:rPr>
        <w:t>he</w:t>
      </w:r>
      <w:r w:rsidR="672E7350" w:rsidRPr="510CBEF7">
        <w:rPr>
          <w:color w:val="000000" w:themeColor="text1"/>
          <w:u w:val="single"/>
        </w:rPr>
        <w:t xml:space="preserve"> </w:t>
      </w:r>
      <w:r w:rsidR="37390FED" w:rsidRPr="510CBEF7">
        <w:rPr>
          <w:color w:val="000000" w:themeColor="text1"/>
          <w:u w:val="single"/>
        </w:rPr>
        <w:t xml:space="preserve">request </w:t>
      </w:r>
      <w:r w:rsidR="7205D003" w:rsidRPr="510CBEF7">
        <w:rPr>
          <w:color w:val="000000" w:themeColor="text1"/>
          <w:u w:val="single"/>
        </w:rPr>
        <w:t xml:space="preserve">cannot be </w:t>
      </w:r>
      <w:r w:rsidR="4D3BEC39" w:rsidRPr="510CBEF7">
        <w:rPr>
          <w:color w:val="000000" w:themeColor="text1"/>
          <w:u w:val="single"/>
        </w:rPr>
        <w:t>recalled</w:t>
      </w:r>
      <w:r w:rsidR="7205D003" w:rsidRPr="510CBEF7">
        <w:rPr>
          <w:color w:val="000000" w:themeColor="text1"/>
          <w:u w:val="single"/>
        </w:rPr>
        <w:t xml:space="preserve"> and reapplied</w:t>
      </w:r>
      <w:r w:rsidR="34E5F694" w:rsidRPr="510CBEF7">
        <w:rPr>
          <w:color w:val="000000" w:themeColor="text1"/>
        </w:rPr>
        <w:t>.</w:t>
      </w:r>
      <w:r w:rsidR="49B66993" w:rsidRPr="510CBEF7">
        <w:rPr>
          <w:color w:val="000000" w:themeColor="text1"/>
        </w:rPr>
        <w:t xml:space="preserve"> This privilege is forfeited. </w:t>
      </w:r>
    </w:p>
    <w:p w14:paraId="24842171" w14:textId="77777777" w:rsidR="008E4055" w:rsidRDefault="008E4055" w:rsidP="510CBEF7">
      <w:pPr>
        <w:jc w:val="both"/>
        <w:rPr>
          <w:color w:val="000000" w:themeColor="text1"/>
        </w:rPr>
      </w:pPr>
    </w:p>
    <w:p w14:paraId="40AFD5EB" w14:textId="3A8BA74E" w:rsidR="00FF3C4E" w:rsidRPr="00FF3C4E" w:rsidRDefault="00534549" w:rsidP="510CBEF7">
      <w:pPr>
        <w:jc w:val="both"/>
        <w:rPr>
          <w:b/>
          <w:bCs/>
          <w:color w:val="000000" w:themeColor="text1"/>
        </w:rPr>
      </w:pPr>
      <w:r w:rsidRPr="510CBEF7">
        <w:rPr>
          <w:b/>
          <w:bCs/>
          <w:color w:val="000000" w:themeColor="text1"/>
        </w:rPr>
        <w:t xml:space="preserve">Evaluation Scheme for Missed </w:t>
      </w:r>
      <w:r w:rsidR="00FF3C4E" w:rsidRPr="510CBEF7">
        <w:rPr>
          <w:b/>
          <w:bCs/>
          <w:color w:val="000000" w:themeColor="text1"/>
        </w:rPr>
        <w:t>Assessment</w:t>
      </w:r>
      <w:r w:rsidRPr="510CBEF7">
        <w:rPr>
          <w:b/>
          <w:bCs/>
          <w:color w:val="000000" w:themeColor="text1"/>
        </w:rPr>
        <w:t>s</w:t>
      </w:r>
    </w:p>
    <w:p w14:paraId="3B31E86A" w14:textId="7D3AAED0" w:rsidR="00534549" w:rsidRDefault="00534549" w:rsidP="510CBEF7">
      <w:pPr>
        <w:jc w:val="both"/>
        <w:rPr>
          <w:b/>
          <w:bCs/>
          <w:color w:val="000000" w:themeColor="text1"/>
        </w:rPr>
      </w:pPr>
    </w:p>
    <w:p w14:paraId="12F2834C" w14:textId="276995F1" w:rsidR="00534549" w:rsidRDefault="050F9055" w:rsidP="510CBEF7">
      <w:pPr>
        <w:spacing w:after="240"/>
        <w:jc w:val="both"/>
      </w:pPr>
      <w:r w:rsidRPr="510CBEF7">
        <w:t>The first missed quiz will be excluded from the calculation of the final grade. Students should not request Academic Consideration for the first missed quiz, as such requests will be denied. If Academic Consideration is granted for any subsequent missed quizzes, each will be replaced by the grade obtained on the final examination.</w:t>
      </w:r>
    </w:p>
    <w:p w14:paraId="3CAA8E5D" w14:textId="5852DA05" w:rsidR="00534549" w:rsidRDefault="7F9AA24F" w:rsidP="510CBEF7">
      <w:pPr>
        <w:spacing w:before="240" w:after="240"/>
        <w:jc w:val="both"/>
      </w:pPr>
      <w:r w:rsidRPr="510CBEF7">
        <w:t xml:space="preserve">If </w:t>
      </w:r>
      <w:r w:rsidR="51AEE138" w:rsidRPr="510CBEF7">
        <w:t>A</w:t>
      </w:r>
      <w:r w:rsidRPr="510CBEF7">
        <w:t xml:space="preserve">cademic </w:t>
      </w:r>
      <w:r w:rsidR="73399BE1" w:rsidRPr="510CBEF7">
        <w:t>C</w:t>
      </w:r>
      <w:r w:rsidRPr="510CBEF7">
        <w:t>onsideration is granted for a missed midterm, its weight will be transferred to the final examination.</w:t>
      </w:r>
    </w:p>
    <w:p w14:paraId="4450A824" w14:textId="22E93606" w:rsidR="00534549" w:rsidRPr="00534549" w:rsidRDefault="00E51661" w:rsidP="510CBEF7">
      <w:pPr>
        <w:jc w:val="both"/>
      </w:pPr>
      <w:r>
        <w:t>When a</w:t>
      </w:r>
      <w:r w:rsidR="002B7A9E">
        <w:t xml:space="preserve"> student</w:t>
      </w:r>
      <w:r w:rsidR="00534549">
        <w:t xml:space="preserve"> miss</w:t>
      </w:r>
      <w:r w:rsidR="00F4318B">
        <w:t>es</w:t>
      </w:r>
      <w:r w:rsidR="00534549">
        <w:t xml:space="preserve"> the Final Exam</w:t>
      </w:r>
      <w:r>
        <w:t xml:space="preserve"> and their </w:t>
      </w:r>
      <w:r w:rsidR="005773FF">
        <w:t xml:space="preserve">Academic Consideration </w:t>
      </w:r>
      <w:r>
        <w:t>has been granted, they will be allowed</w:t>
      </w:r>
      <w:r w:rsidR="00534549">
        <w:t xml:space="preserve"> to write the Special Examination (the name given by the University to a makeup Final Exam). See the Academic Calendar for details (under </w:t>
      </w:r>
      <w:hyperlink r:id="rId10" w:anchor="SubHeading_70">
        <w:r w:rsidR="00534549" w:rsidRPr="510CBEF7">
          <w:rPr>
            <w:rStyle w:val="Hyperlink"/>
            <w:rFonts w:cs="Arial (Body CS)"/>
          </w:rPr>
          <w:t>Special Examinations</w:t>
        </w:r>
      </w:hyperlink>
      <w:r w:rsidR="00534549">
        <w:t>)</w:t>
      </w:r>
      <w:r>
        <w:t xml:space="preserve">, especially for those </w:t>
      </w:r>
      <w:r w:rsidR="000D2A40">
        <w:t xml:space="preserve">who miss multiple final exams </w:t>
      </w:r>
      <w:r w:rsidR="0005651E">
        <w:t>with</w:t>
      </w:r>
      <w:r w:rsidR="000D2A40">
        <w:t xml:space="preserve">in one examination period. </w:t>
      </w:r>
    </w:p>
    <w:p w14:paraId="253ABBBA" w14:textId="012B2705" w:rsidR="00FF3C4E" w:rsidRDefault="00FF3C4E" w:rsidP="510CBEF7">
      <w:pPr>
        <w:jc w:val="both"/>
        <w:rPr>
          <w:color w:val="000000" w:themeColor="text1"/>
        </w:rPr>
      </w:pPr>
    </w:p>
    <w:p w14:paraId="288CAB97" w14:textId="26B30808" w:rsidR="0025296D" w:rsidRPr="00657692" w:rsidRDefault="00A915C7" w:rsidP="510CBEF7">
      <w:pPr>
        <w:jc w:val="both"/>
        <w:rPr>
          <w:b/>
          <w:bCs/>
          <w:color w:val="000000" w:themeColor="text1"/>
        </w:rPr>
      </w:pPr>
      <w:r w:rsidRPr="510CBEF7">
        <w:rPr>
          <w:b/>
          <w:bCs/>
          <w:color w:val="000000" w:themeColor="text1"/>
        </w:rPr>
        <w:t>Coursework with Assessment Flexibility</w:t>
      </w:r>
    </w:p>
    <w:p w14:paraId="3C70F6DF" w14:textId="6DD716F3" w:rsidR="510CBEF7" w:rsidRDefault="510CBEF7" w:rsidP="510CBEF7">
      <w:pPr>
        <w:jc w:val="both"/>
        <w:rPr>
          <w:color w:val="000000" w:themeColor="text1"/>
        </w:rPr>
      </w:pPr>
    </w:p>
    <w:p w14:paraId="04268612" w14:textId="1606DE74" w:rsidR="00A915C7" w:rsidRDefault="00A915C7" w:rsidP="510CBEF7">
      <w:pPr>
        <w:jc w:val="both"/>
        <w:rPr>
          <w:color w:val="000000" w:themeColor="text1"/>
        </w:rPr>
      </w:pPr>
      <w:r w:rsidRPr="510CBEF7">
        <w:rPr>
          <w:color w:val="000000" w:themeColor="text1"/>
        </w:rPr>
        <w:t>By policy, instructors may deny Academic Consideration</w:t>
      </w:r>
      <w:r w:rsidR="00B1296A" w:rsidRPr="510CBEF7">
        <w:rPr>
          <w:color w:val="000000" w:themeColor="text1"/>
        </w:rPr>
        <w:t xml:space="preserve"> requests</w:t>
      </w:r>
      <w:r w:rsidRPr="510CBEF7">
        <w:rPr>
          <w:color w:val="000000" w:themeColor="text1"/>
        </w:rPr>
        <w:t xml:space="preserve"> for the following assessments with built-in flexibility</w:t>
      </w:r>
      <w:r w:rsidR="74205CB5" w:rsidRPr="510CBEF7">
        <w:rPr>
          <w:color w:val="000000" w:themeColor="text1"/>
        </w:rPr>
        <w:t xml:space="preserve">. </w:t>
      </w:r>
      <w:r w:rsidR="22C788D9" w:rsidRPr="510CBEF7">
        <w:t>Refer to the previous point regarding quiz flexibility.</w:t>
      </w:r>
    </w:p>
    <w:p w14:paraId="2F7B340D" w14:textId="7346DC0A" w:rsidR="003C6E2C" w:rsidRDefault="003C6E2C" w:rsidP="510CBEF7">
      <w:pPr>
        <w:jc w:val="both"/>
        <w:rPr>
          <w:color w:val="000000" w:themeColor="text1"/>
        </w:rPr>
      </w:pPr>
    </w:p>
    <w:p w14:paraId="3235C987" w14:textId="6D109C32" w:rsidR="00852477" w:rsidRDefault="00A92B9B" w:rsidP="510CBEF7">
      <w:pPr>
        <w:jc w:val="both"/>
      </w:pPr>
      <w:r w:rsidRPr="510CBEF7">
        <w:rPr>
          <w:b/>
          <w:bCs/>
          <w:sz w:val="36"/>
          <w:szCs w:val="36"/>
        </w:rPr>
        <w:t>6</w:t>
      </w:r>
      <w:r w:rsidR="00852477" w:rsidRPr="510CBEF7">
        <w:rPr>
          <w:b/>
          <w:bCs/>
          <w:sz w:val="36"/>
          <w:szCs w:val="36"/>
        </w:rPr>
        <w:t xml:space="preserve">. </w:t>
      </w:r>
      <w:r w:rsidRPr="510CBEF7">
        <w:rPr>
          <w:b/>
          <w:bCs/>
          <w:sz w:val="36"/>
          <w:szCs w:val="36"/>
        </w:rPr>
        <w:t>Additional Statements</w:t>
      </w:r>
    </w:p>
    <w:p w14:paraId="30DCF47F" w14:textId="77777777" w:rsidR="00852477" w:rsidRDefault="00852477" w:rsidP="510CBEF7">
      <w:pPr>
        <w:ind w:right="-20"/>
        <w:jc w:val="both"/>
        <w:rPr>
          <w:rFonts w:eastAsia="Cambria"/>
          <w:b/>
          <w:bCs/>
          <w:w w:val="105"/>
        </w:rPr>
      </w:pPr>
    </w:p>
    <w:p w14:paraId="73C17469" w14:textId="0A691CDF" w:rsidR="00FA2D05" w:rsidRDefault="00FA2D05" w:rsidP="510CBEF7">
      <w:pPr>
        <w:jc w:val="both"/>
      </w:pPr>
      <w:r w:rsidRPr="510CBEF7">
        <w:rPr>
          <w:b/>
          <w:bCs/>
        </w:rPr>
        <w:lastRenderedPageBreak/>
        <w:t xml:space="preserve">6.1 </w:t>
      </w:r>
      <w:r w:rsidR="00F735AF" w:rsidRPr="510CBEF7">
        <w:rPr>
          <w:b/>
          <w:bCs/>
        </w:rPr>
        <w:t>Religious Accommodation</w:t>
      </w:r>
    </w:p>
    <w:p w14:paraId="4296020F" w14:textId="1E903C2D" w:rsidR="510CBEF7" w:rsidRDefault="510CBEF7" w:rsidP="510CBEF7">
      <w:pPr>
        <w:jc w:val="both"/>
        <w:rPr>
          <w:b/>
          <w:bCs/>
        </w:rPr>
      </w:pPr>
    </w:p>
    <w:p w14:paraId="40E127D8" w14:textId="7548C0AD" w:rsidR="00297CEC" w:rsidRDefault="23EEECC8" w:rsidP="510CBEF7">
      <w:pPr>
        <w:spacing w:after="120"/>
        <w:jc w:val="both"/>
      </w:pPr>
      <w:r>
        <w:t xml:space="preserve">When conflicts </w:t>
      </w:r>
      <w:r w:rsidR="00FA2D05">
        <w:t xml:space="preserve">arise </w:t>
      </w:r>
      <w:r>
        <w:t xml:space="preserve">with a religious holiday that requires an absence from the University or prohibits certain activities, students should request </w:t>
      </w:r>
      <w:r w:rsidR="44EE50F8">
        <w:t xml:space="preserve">an </w:t>
      </w:r>
      <w:r>
        <w:t xml:space="preserve">accommodation for their absence in writing to the course instructor and/or the Academic </w:t>
      </w:r>
      <w:r w:rsidR="6C395A01">
        <w:t>Advising</w:t>
      </w:r>
      <w:r>
        <w:t xml:space="preserve"> office of their Faculty of Registration.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one week prior to the writing of the test).</w:t>
      </w:r>
      <w:r w:rsidR="006E4F11">
        <w:t xml:space="preserve"> </w:t>
      </w:r>
    </w:p>
    <w:p w14:paraId="39896799" w14:textId="780D29D1" w:rsidR="00F735AF" w:rsidRPr="002A30AF" w:rsidRDefault="23EEECC8" w:rsidP="510CBEF7">
      <w:pPr>
        <w:spacing w:after="120"/>
        <w:jc w:val="both"/>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1">
        <w:r w:rsidR="002A30AF" w:rsidRPr="510CBEF7">
          <w:rPr>
            <w:rStyle w:val="Hyperlink"/>
            <w:rFonts w:cs="Arial (Body CS)"/>
          </w:rPr>
          <w:t>https://www.edi.uwo.ca</w:t>
        </w:r>
      </w:hyperlink>
    </w:p>
    <w:p w14:paraId="6758309F" w14:textId="77777777" w:rsidR="00F735AF" w:rsidRPr="003C6E2C" w:rsidRDefault="00F735AF" w:rsidP="510CBEF7">
      <w:pPr>
        <w:jc w:val="both"/>
      </w:pPr>
    </w:p>
    <w:p w14:paraId="195D9C57" w14:textId="60DCAADB" w:rsidR="00852477" w:rsidRPr="00E73DBD" w:rsidRDefault="00FA2D05" w:rsidP="510CBEF7">
      <w:pPr>
        <w:ind w:right="-20"/>
        <w:jc w:val="both"/>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76798162" w14:textId="4A0B0809" w:rsidR="00852477" w:rsidRDefault="00852477" w:rsidP="510CBEF7">
      <w:pPr>
        <w:spacing w:before="120" w:after="120"/>
        <w:ind w:right="-20"/>
        <w:jc w:val="both"/>
        <w:rPr>
          <w:rFonts w:eastAsia="Cambria"/>
          <w:b/>
          <w:bCs/>
        </w:rPr>
      </w:pPr>
    </w:p>
    <w:p w14:paraId="6CF21649" w14:textId="67DF5259" w:rsidR="00852477" w:rsidRDefault="00852477" w:rsidP="510CBEF7">
      <w:pPr>
        <w:spacing w:before="120" w:after="120"/>
        <w:ind w:right="-20"/>
        <w:jc w:val="both"/>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510CBEF7">
      <w:pPr>
        <w:ind w:left="360" w:right="-13"/>
        <w:jc w:val="both"/>
        <w:rPr>
          <w:rFonts w:eastAsia="Cambria" w:cs="Arial (Body CS)"/>
          <w:color w:val="0432FF"/>
          <w:sz w:val="23"/>
          <w:szCs w:val="23"/>
        </w:rPr>
      </w:pPr>
      <w:hyperlink r:id="rId12">
        <w:r w:rsidRPr="510CBEF7">
          <w:rPr>
            <w:rStyle w:val="Hyperlink"/>
            <w:rFonts w:eastAsia="Cambria" w:cs="Arial (Body CS)"/>
            <w:sz w:val="23"/>
            <w:szCs w:val="23"/>
          </w:rPr>
          <w:t>https://www.uwo.ca/univsec/pdf/academic_policies/appeals/Academic Accommodation_disabilities.pdf</w:t>
        </w:r>
      </w:hyperlink>
      <w:r w:rsidR="00F735AF" w:rsidRPr="510CBEF7">
        <w:rPr>
          <w:rFonts w:eastAsia="Cambria" w:cs="Arial (Body CS)"/>
          <w:color w:val="000000" w:themeColor="text1"/>
          <w:sz w:val="23"/>
          <w:szCs w:val="23"/>
        </w:rPr>
        <w:t>.</w:t>
      </w:r>
      <w:r w:rsidRPr="510CBEF7">
        <w:rPr>
          <w:rFonts w:eastAsia="Cambria" w:cs="Arial (Body CS)"/>
          <w:color w:val="0432FF"/>
          <w:sz w:val="23"/>
          <w:szCs w:val="23"/>
        </w:rPr>
        <w:t xml:space="preserve"> </w:t>
      </w:r>
    </w:p>
    <w:p w14:paraId="6231F94C" w14:textId="77777777" w:rsidR="00852477" w:rsidRDefault="00852477" w:rsidP="510CBEF7">
      <w:pPr>
        <w:jc w:val="both"/>
        <w:rPr>
          <w:b/>
          <w:bCs/>
        </w:rPr>
      </w:pPr>
    </w:p>
    <w:p w14:paraId="4EF1E36A" w14:textId="1A3EE3BD" w:rsidR="00A92B9B" w:rsidRPr="00E73DBD" w:rsidRDefault="00FA2D05" w:rsidP="510CBEF7">
      <w:pPr>
        <w:ind w:right="-20"/>
        <w:jc w:val="both"/>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41E06A30" w14:textId="28FDA0D5" w:rsidR="510CBEF7" w:rsidRDefault="510CBEF7" w:rsidP="510CBEF7">
      <w:pPr>
        <w:jc w:val="both"/>
      </w:pPr>
    </w:p>
    <w:p w14:paraId="3B5338E7" w14:textId="218EB812" w:rsidR="005953FA" w:rsidRPr="00266229" w:rsidRDefault="005953FA" w:rsidP="510CBEF7">
      <w:pPr>
        <w:jc w:val="both"/>
      </w:pPr>
      <w:r>
        <w:t xml:space="preserve">The website for </w:t>
      </w:r>
      <w:r w:rsidR="005C1FF2">
        <w:t>Registrar</w:t>
      </w:r>
      <w:r>
        <w:t xml:space="preserve"> Services is </w:t>
      </w:r>
      <w:hyperlink r:id="rId13">
        <w:r w:rsidR="007D2A57" w:rsidRPr="510CBEF7">
          <w:rPr>
            <w:rStyle w:val="Hyperlink"/>
            <w:rFonts w:cs="Arial (Body CS)"/>
          </w:rPr>
          <w:t>https://www.registrar.uwo.ca/</w:t>
        </w:r>
      </w:hyperlink>
      <w:r w:rsidR="00103931">
        <w:t xml:space="preserve">. </w:t>
      </w:r>
    </w:p>
    <w:p w14:paraId="3C0291E2" w14:textId="17B57019" w:rsidR="00DD63C6" w:rsidRDefault="00FA2D05" w:rsidP="510CBEF7">
      <w:pPr>
        <w:spacing w:before="120"/>
        <w:jc w:val="both"/>
      </w:pPr>
      <w:r w:rsidRPr="510CBEF7">
        <w:rPr>
          <w:b/>
          <w:bCs/>
        </w:rPr>
        <w:t>Use of @uwo.ca email:</w:t>
      </w:r>
      <w:r>
        <w:t xml:space="preserve"> </w:t>
      </w:r>
      <w:r w:rsidR="00DD63C6">
        <w:t>In accordance with policy,</w:t>
      </w:r>
      <w:r w:rsidR="002A30AF">
        <w:t xml:space="preserve"> </w:t>
      </w:r>
      <w:hyperlink r:id="rId14">
        <w:r w:rsidR="002A30AF" w:rsidRPr="510CBEF7">
          <w:rPr>
            <w:rStyle w:val="Hyperlink"/>
          </w:rPr>
          <w:t>https://www.uwo.ca/univsec/pdf/policies_procedures/section1/mapp113.pdf</w:t>
        </w:r>
      </w:hyperlink>
      <w:r w:rsidR="003A4361" w:rsidRPr="510CBEF7">
        <w:rPr>
          <w:color w:val="000000" w:themeColor="text1"/>
        </w:rPr>
        <w:t>,</w:t>
      </w:r>
      <w:r w:rsidR="002A30AF">
        <w:t xml:space="preserve"> </w:t>
      </w:r>
      <w:r w:rsidR="00DD63C6">
        <w:t>the centrally administered e-mail account provided to students will be considered the individual’s official university email address.</w:t>
      </w:r>
      <w:r w:rsidR="00121B8A">
        <w:t xml:space="preserve"> </w:t>
      </w:r>
      <w:r w:rsidR="00DD63C6">
        <w:t xml:space="preserve"> It is the responsibility of the account holder to ensure that e</w:t>
      </w:r>
      <w:r w:rsidR="002A30AF">
        <w:t>mails</w:t>
      </w:r>
      <w:r w:rsidR="00DD63C6">
        <w:t xml:space="preserve"> received from the University at </w:t>
      </w:r>
      <w:r w:rsidR="00AD70A6">
        <w:t>their</w:t>
      </w:r>
      <w:r w:rsidR="00DD63C6">
        <w:t xml:space="preserve"> official university address </w:t>
      </w:r>
      <w:r w:rsidR="002A30AF">
        <w:t>are</w:t>
      </w:r>
      <w:r w:rsidR="00DD63C6">
        <w:t xml:space="preserve"> attended to in a timely manner.</w:t>
      </w:r>
    </w:p>
    <w:p w14:paraId="30DBBA7B" w14:textId="452E50FE" w:rsidR="002A30AF" w:rsidRDefault="00FA2D05" w:rsidP="510CBEF7">
      <w:pPr>
        <w:spacing w:before="120"/>
        <w:jc w:val="both"/>
      </w:pPr>
      <w:r w:rsidRPr="510CBEF7">
        <w:rPr>
          <w:b/>
          <w:bCs/>
        </w:rPr>
        <w:t>Requests for Relief</w:t>
      </w:r>
      <w:r>
        <w:t xml:space="preserve"> (formally known as “appeals”)</w:t>
      </w:r>
    </w:p>
    <w:p w14:paraId="3BEFDE0E" w14:textId="453E0F90" w:rsidR="002A30AF" w:rsidRDefault="00FA2D05" w:rsidP="510CBEF7">
      <w:pPr>
        <w:spacing w:before="120"/>
        <w:jc w:val="both"/>
      </w:pPr>
      <w:r>
        <w:t>Policy on Request for Relief from Academic Decision:</w:t>
      </w:r>
    </w:p>
    <w:p w14:paraId="3DFC8935" w14:textId="147F80CF" w:rsidR="00FA2D05" w:rsidRDefault="00FA2D05" w:rsidP="510CBEF7">
      <w:pPr>
        <w:jc w:val="both"/>
      </w:pPr>
      <w:hyperlink r:id="rId15">
        <w:r w:rsidRPr="510CBEF7">
          <w:rPr>
            <w:rStyle w:val="Hyperlink"/>
          </w:rPr>
          <w:t>https://uwo.ca/univsec//pdf/academic_policies/appeals/requests_for_relief_from_academic_decisions.pdf</w:t>
        </w:r>
      </w:hyperlink>
      <w:r>
        <w:t xml:space="preserve"> </w:t>
      </w:r>
    </w:p>
    <w:p w14:paraId="6ACEF2A9" w14:textId="387CFEEA" w:rsidR="009A1E1C" w:rsidRDefault="00FA2D05" w:rsidP="510CBEF7">
      <w:pPr>
        <w:spacing w:before="120"/>
        <w:jc w:val="both"/>
      </w:pPr>
      <w:r>
        <w:t>Procedures on Request for Relief from Academic Decision (Undergraduate):</w:t>
      </w:r>
    </w:p>
    <w:p w14:paraId="385D3026" w14:textId="3F6BB458" w:rsidR="00FA2D05" w:rsidRDefault="00FA2D05" w:rsidP="510CBEF7">
      <w:pPr>
        <w:jc w:val="both"/>
      </w:pPr>
      <w:hyperlink r:id="rId16">
        <w:r w:rsidRPr="510CBEF7">
          <w:rPr>
            <w:rStyle w:val="Hyperlink"/>
          </w:rPr>
          <w:t>https://uwo.ca/univsec//pdf/academic_policies/appeals/undergrad_requests_for_relief_procedure.pdf</w:t>
        </w:r>
      </w:hyperlink>
      <w:r>
        <w:t xml:space="preserve"> </w:t>
      </w:r>
    </w:p>
    <w:p w14:paraId="329255FF" w14:textId="79106092" w:rsidR="00FA2D05" w:rsidRDefault="00FA2D05" w:rsidP="510CBEF7">
      <w:pPr>
        <w:spacing w:before="120"/>
        <w:jc w:val="both"/>
      </w:pPr>
      <w:r>
        <w:t>Procedures on Request for Relief from Academic Decision (Graduate):</w:t>
      </w:r>
    </w:p>
    <w:p w14:paraId="4C109DA6" w14:textId="3BD082B6" w:rsidR="00FA2D05" w:rsidRDefault="00FA2D05" w:rsidP="510CBEF7">
      <w:pPr>
        <w:jc w:val="both"/>
      </w:pPr>
      <w:hyperlink r:id="rId17">
        <w:r w:rsidRPr="510CBEF7">
          <w:rPr>
            <w:rStyle w:val="Hyperlink"/>
          </w:rPr>
          <w:t>https://uwo.ca/univsec//pdf/academic_policies/appeals/graduate_requests_for_relief_procedure.pdf</w:t>
        </w:r>
      </w:hyperlink>
      <w:r>
        <w:t xml:space="preserve"> </w:t>
      </w:r>
    </w:p>
    <w:p w14:paraId="653A236E" w14:textId="77777777" w:rsidR="00FA2D05" w:rsidRDefault="00FA2D05" w:rsidP="510CBEF7">
      <w:pPr>
        <w:jc w:val="both"/>
      </w:pPr>
    </w:p>
    <w:p w14:paraId="69FE5CB9" w14:textId="40A5A1B9" w:rsidR="00AC24C1" w:rsidRDefault="00FA2D05" w:rsidP="510CBEF7">
      <w:pPr>
        <w:spacing w:after="120"/>
        <w:jc w:val="both"/>
      </w:pPr>
      <w:r w:rsidRPr="510CBEF7">
        <w:rPr>
          <w:b/>
          <w:bCs/>
        </w:rPr>
        <w:t xml:space="preserve">6.4 </w:t>
      </w:r>
      <w:r w:rsidR="003A1E08" w:rsidRPr="510CBEF7">
        <w:rPr>
          <w:b/>
          <w:bCs/>
        </w:rPr>
        <w:t xml:space="preserve">Scholastic </w:t>
      </w:r>
      <w:r w:rsidR="00AC24C1" w:rsidRPr="510CBEF7">
        <w:rPr>
          <w:b/>
          <w:bCs/>
        </w:rPr>
        <w:t>O</w:t>
      </w:r>
      <w:r w:rsidR="003A1E08" w:rsidRPr="510CBEF7">
        <w:rPr>
          <w:b/>
          <w:bCs/>
        </w:rPr>
        <w:t>ffences</w:t>
      </w:r>
    </w:p>
    <w:p w14:paraId="73A3F73E" w14:textId="2D3A38D2" w:rsidR="00AC24C1" w:rsidRDefault="00FA2D05" w:rsidP="510CBEF7">
      <w:pPr>
        <w:spacing w:after="120"/>
        <w:jc w:val="both"/>
      </w:pPr>
      <w:r>
        <w:t xml:space="preserve">Policy on </w:t>
      </w:r>
      <w:r w:rsidR="00AC24C1">
        <w:t xml:space="preserve">Scholastic Offences: </w:t>
      </w:r>
      <w:hyperlink r:id="rId18">
        <w:r w:rsidR="00AC24C1" w:rsidRPr="510CBEF7">
          <w:rPr>
            <w:rStyle w:val="Hyperlink"/>
          </w:rPr>
          <w:t>https://uwo.ca/univsec//pdf/academic_policies/appeals/scholastic_offences.pdf</w:t>
        </w:r>
      </w:hyperlink>
    </w:p>
    <w:p w14:paraId="747A3DBA" w14:textId="37920D24" w:rsidR="00AC24C1" w:rsidRDefault="00FA2D05" w:rsidP="510CBEF7">
      <w:pPr>
        <w:jc w:val="both"/>
      </w:pPr>
      <w:r>
        <w:t xml:space="preserve">Procedures on </w:t>
      </w:r>
      <w:r w:rsidR="00AC24C1">
        <w:t>Scholastic Offences:</w:t>
      </w:r>
    </w:p>
    <w:p w14:paraId="2CCCFE65" w14:textId="42716273" w:rsidR="00AC24C1" w:rsidRDefault="00AC24C1" w:rsidP="510CBEF7">
      <w:pPr>
        <w:jc w:val="both"/>
      </w:pPr>
      <w:hyperlink r:id="rId19">
        <w:r w:rsidRPr="510CBEF7">
          <w:rPr>
            <w:rStyle w:val="Hyperlink"/>
          </w:rPr>
          <w:t>https://uwo.ca/univsec//pdf/academic_policies/appeals/undergrad_scholastic_offence_procedure.pdf</w:t>
        </w:r>
      </w:hyperlink>
    </w:p>
    <w:p w14:paraId="5DD5B8E1" w14:textId="77777777" w:rsidR="00A84E86" w:rsidRDefault="00A84E86" w:rsidP="510CBEF7">
      <w:pPr>
        <w:jc w:val="both"/>
        <w:rPr>
          <w:b/>
          <w:bCs/>
        </w:rPr>
      </w:pPr>
    </w:p>
    <w:p w14:paraId="3C4B083F" w14:textId="31FD781D" w:rsidR="00A84E86" w:rsidRPr="00A84E86" w:rsidRDefault="00A84E86" w:rsidP="510CBEF7">
      <w:pPr>
        <w:jc w:val="both"/>
      </w:pPr>
      <w:r w:rsidRPr="510CBEF7">
        <w:rPr>
          <w:b/>
          <w:bCs/>
        </w:rPr>
        <w:t>Use of Electronic Devices During Assessments</w:t>
      </w:r>
    </w:p>
    <w:p w14:paraId="25883AD2" w14:textId="65B9FC66" w:rsidR="00A84E86" w:rsidRPr="00A84E86" w:rsidRDefault="00A84E86" w:rsidP="510CBEF7">
      <w:pPr>
        <w:spacing w:before="120"/>
        <w:jc w:val="both"/>
      </w:pPr>
      <w:r>
        <w:lastRenderedPageBreak/>
        <w:t xml:space="preserve">In courses offered by the Faculty of Science, the possession of unauthorized electronic devices during any in-person assessment (such as tests, midterms, and final examinations) is strictly prohibited. This includes, but is not limited </w:t>
      </w:r>
      <w:proofErr w:type="gramStart"/>
      <w:r>
        <w:t>to:</w:t>
      </w:r>
      <w:proofErr w:type="gramEnd"/>
      <w:r>
        <w:t xml:space="preserve"> mobile phones, smart watches, smart glasses, and wireless earbuds or headphones.</w:t>
      </w:r>
    </w:p>
    <w:p w14:paraId="76454D46" w14:textId="57EBD961" w:rsidR="00A84E86" w:rsidRPr="00A84E86" w:rsidRDefault="00A84E86" w:rsidP="510CBEF7">
      <w:pPr>
        <w:spacing w:before="120"/>
        <w:jc w:val="both"/>
      </w:pPr>
      <w:r>
        <w:t>Unless explicitly stated otherwise in advance by the instructor, the presence of any such device at your desk, on your person, or within reach during an assessment will be treated as a </w:t>
      </w:r>
      <w:r w:rsidRPr="510CBEF7">
        <w:rPr>
          <w:i/>
          <w:iCs/>
        </w:rPr>
        <w:t>scholastic offence</w:t>
      </w:r>
      <w:r>
        <w:t>, even if the device is not in use.</w:t>
      </w:r>
    </w:p>
    <w:p w14:paraId="5BB25F1A" w14:textId="77777777" w:rsidR="00A84E86" w:rsidRPr="00A84E86" w:rsidRDefault="00A84E86" w:rsidP="510CBEF7">
      <w:pPr>
        <w:spacing w:before="120"/>
        <w:jc w:val="both"/>
      </w:pPr>
      <w:r>
        <w:t>Only devices expressly permitted by the instructor (e.g., non-programmable calculators) may be brought into the assessment room. It is your responsibility to review and comply with these expectations.</w:t>
      </w:r>
    </w:p>
    <w:p w14:paraId="1387E54F" w14:textId="77777777" w:rsidR="00AC24C1" w:rsidRPr="00A84E86" w:rsidRDefault="00AC24C1" w:rsidP="510CBEF7">
      <w:pPr>
        <w:jc w:val="both"/>
        <w:rPr>
          <w:color w:val="000000" w:themeColor="text1"/>
        </w:rPr>
      </w:pPr>
    </w:p>
    <w:p w14:paraId="2627AA23" w14:textId="3D520545" w:rsidR="00A84E86" w:rsidRPr="00A84E86" w:rsidRDefault="00A84E86" w:rsidP="510CBEF7">
      <w:pPr>
        <w:jc w:val="both"/>
        <w:rPr>
          <w:color w:val="000000" w:themeColor="text1"/>
        </w:rPr>
      </w:pPr>
      <w:r w:rsidRPr="510CBEF7">
        <w:rPr>
          <w:b/>
          <w:bCs/>
          <w:color w:val="000000" w:themeColor="text1"/>
        </w:rPr>
        <w:t>Use of Generative AI Tools</w:t>
      </w:r>
    </w:p>
    <w:p w14:paraId="5AB6D083" w14:textId="77777777" w:rsidR="00A84E86" w:rsidRPr="00A84E86" w:rsidRDefault="00A84E86" w:rsidP="510CBEF7">
      <w:pPr>
        <w:spacing w:before="120"/>
        <w:jc w:val="both"/>
        <w:rPr>
          <w:color w:val="000000" w:themeColor="text1"/>
        </w:rPr>
      </w:pPr>
      <w:r w:rsidRPr="510CBEF7">
        <w:rPr>
          <w:color w:val="000000" w:themeColor="text1"/>
        </w:rPr>
        <w:t>Unless otherwise stated, the use of generative AI tools (e.g., ChatGPT, Microsoft Copilot, Google Gemini, or similar platforms) is </w:t>
      </w:r>
      <w:r w:rsidRPr="510CBEF7">
        <w:rPr>
          <w:b/>
          <w:bCs/>
          <w:color w:val="000000" w:themeColor="text1"/>
        </w:rPr>
        <w:t>not permitted</w:t>
      </w:r>
      <w:r w:rsidRPr="510CBEF7">
        <w:rPr>
          <w:color w:val="000000" w:themeColor="text1"/>
        </w:rPr>
        <w:t xml:space="preserve"> in the completion of any course assessments, including but not limited </w:t>
      </w:r>
      <w:proofErr w:type="gramStart"/>
      <w:r w:rsidRPr="510CBEF7">
        <w:rPr>
          <w:color w:val="000000" w:themeColor="text1"/>
        </w:rPr>
        <w:t>to:</w:t>
      </w:r>
      <w:proofErr w:type="gramEnd"/>
      <w:r w:rsidRPr="510CBEF7">
        <w:rPr>
          <w:color w:val="000000" w:themeColor="text1"/>
        </w:rPr>
        <w:t xml:space="preserve"> assignments, lab reports, presentations, tests, and final examinations.</w:t>
      </w:r>
    </w:p>
    <w:p w14:paraId="326A1C97" w14:textId="77777777" w:rsidR="00A84E86" w:rsidRPr="00A84E86" w:rsidRDefault="00A84E86" w:rsidP="510CBEF7">
      <w:pPr>
        <w:spacing w:before="120"/>
        <w:jc w:val="both"/>
        <w:rPr>
          <w:color w:val="000000" w:themeColor="text1"/>
        </w:rPr>
      </w:pPr>
      <w:r w:rsidRPr="510CBEF7">
        <w:rPr>
          <w:color w:val="000000" w:themeColor="text1"/>
        </w:rPr>
        <w:t>Using such tools for content generation, code writing, problem solving, translation, or summarization—when not explicitly allowed—will be treated as a </w:t>
      </w:r>
      <w:r w:rsidRPr="510CBEF7">
        <w:rPr>
          <w:b/>
          <w:bCs/>
          <w:color w:val="000000" w:themeColor="text1"/>
        </w:rPr>
        <w:t>scholastic offence</w:t>
      </w:r>
      <w:r w:rsidRPr="510CBEF7">
        <w:rPr>
          <w:color w:val="000000" w:themeColor="text1"/>
        </w:rPr>
        <w:t>.</w:t>
      </w:r>
    </w:p>
    <w:p w14:paraId="07967535" w14:textId="693B0FD0" w:rsidR="00A84E86" w:rsidRPr="00A84E86" w:rsidRDefault="00A84E86" w:rsidP="510CBEF7">
      <w:pPr>
        <w:spacing w:before="120"/>
        <w:jc w:val="both"/>
        <w:rPr>
          <w:color w:val="000000" w:themeColor="text1"/>
        </w:rPr>
      </w:pPr>
      <w:r w:rsidRPr="510CBEF7">
        <w:rPr>
          <w:color w:val="000000" w:themeColor="text1"/>
        </w:rPr>
        <w:t>If the use of generative AI is permitted for a particular assessment, the conditions of use will be specified by the instructor in advance. If no such permission is granted, students must assume that use is prohibited. It is your responsibility to seek clarification before using any AI tools in academic work.</w:t>
      </w:r>
    </w:p>
    <w:p w14:paraId="77E151E2" w14:textId="20AB0823" w:rsidR="0018608B" w:rsidRPr="003C6E2C" w:rsidRDefault="0018608B" w:rsidP="510CBEF7">
      <w:pPr>
        <w:jc w:val="both"/>
        <w:rPr>
          <w:color w:val="007F00"/>
        </w:rPr>
      </w:pPr>
    </w:p>
    <w:p w14:paraId="17051D86" w14:textId="422A606D" w:rsidR="00A92B9B" w:rsidRPr="00E73DBD" w:rsidRDefault="00FA2D05" w:rsidP="510CBEF7">
      <w:pPr>
        <w:ind w:right="-20"/>
        <w:jc w:val="both"/>
        <w:rPr>
          <w:rFonts w:eastAsia="Cambria"/>
        </w:rPr>
      </w:pPr>
      <w:r>
        <w:rPr>
          <w:rFonts w:eastAsia="Cambria"/>
          <w:b/>
          <w:bCs/>
          <w:w w:val="105"/>
        </w:rPr>
        <w:t xml:space="preserve">6.5 </w:t>
      </w:r>
      <w:r w:rsidR="00A92B9B">
        <w:rPr>
          <w:rFonts w:eastAsia="Cambria"/>
          <w:b/>
          <w:bCs/>
          <w:w w:val="105"/>
        </w:rPr>
        <w:t>Support Services</w:t>
      </w:r>
    </w:p>
    <w:p w14:paraId="48C03F96" w14:textId="2B5D0CF6" w:rsidR="00C41206" w:rsidRDefault="00C41206" w:rsidP="510CBEF7">
      <w:pPr>
        <w:jc w:val="both"/>
      </w:pPr>
      <w:r>
        <w:t xml:space="preserve">Please visit the 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20">
        <w:r w:rsidRPr="510CBEF7">
          <w:rPr>
            <w:rStyle w:val="Hyperlink"/>
          </w:rPr>
          <w:t>https://www.uwo.ca/sci/counselling/</w:t>
        </w:r>
      </w:hyperlink>
      <w:r w:rsidR="00121B8A">
        <w:t>.</w:t>
      </w:r>
    </w:p>
    <w:p w14:paraId="432F114F" w14:textId="77777777" w:rsidR="00C41206" w:rsidRDefault="00C41206" w:rsidP="510CBEF7">
      <w:pPr>
        <w:jc w:val="both"/>
      </w:pPr>
    </w:p>
    <w:p w14:paraId="08F945A2" w14:textId="343FDD4A" w:rsidR="00266229" w:rsidRPr="007A071F" w:rsidRDefault="00266229" w:rsidP="510CBEF7">
      <w:pPr>
        <w:jc w:val="both"/>
        <w:rPr>
          <w:color w:val="0000FF"/>
        </w:rPr>
      </w:pPr>
      <w:r>
        <w:t xml:space="preserve">Students who are in emotional/mental distress should refer to Mental </w:t>
      </w:r>
      <w:proofErr w:type="spellStart"/>
      <w:r>
        <w:t>Health@Western</w:t>
      </w:r>
      <w:proofErr w:type="spellEnd"/>
      <w:r>
        <w:t xml:space="preserve"> (</w:t>
      </w:r>
      <w:hyperlink r:id="rId21">
        <w:r w:rsidR="00DB4423" w:rsidRPr="510CBEF7">
          <w:rPr>
            <w:rStyle w:val="Hyperlink"/>
          </w:rPr>
          <w:t>https://uwo.ca/health/</w:t>
        </w:r>
      </w:hyperlink>
      <w:r>
        <w:t>) for a complete list of options about how to obtain help.</w:t>
      </w:r>
    </w:p>
    <w:p w14:paraId="5DF115E4" w14:textId="77777777" w:rsidR="00266229" w:rsidRDefault="00266229" w:rsidP="510CBEF7">
      <w:pPr>
        <w:jc w:val="both"/>
      </w:pPr>
    </w:p>
    <w:p w14:paraId="52CB80D1" w14:textId="3D4BBA1A" w:rsidR="00266229" w:rsidRDefault="00266229" w:rsidP="510CBEF7">
      <w:pPr>
        <w:spacing w:after="120"/>
        <w:jc w:val="both"/>
      </w:pPr>
      <w:r>
        <w:t>Western </w:t>
      </w:r>
      <w:r w:rsidRPr="510CBEF7">
        <w:rPr>
          <w:color w:val="000000" w:themeColor="text1"/>
        </w:rPr>
        <w:t>is committed to reducing incidents of gender-based and sexual violence </w:t>
      </w:r>
      <w:r>
        <w:t xml:space="preserve">and providing compassionate support to anyone who has gone through these traumatic events. </w:t>
      </w:r>
      <w:r w:rsidR="00E170A0">
        <w:t xml:space="preserve"> </w:t>
      </w:r>
      <w:r>
        <w:t>If you have experienced sexual or gender-based violence (either recently or in the past), you will find information about support services for survivors, including emergency contacts at</w:t>
      </w:r>
      <w:r w:rsidR="0FA485B9">
        <w:t xml:space="preserve">: </w:t>
      </w:r>
      <w:hyperlink r:id="rId22">
        <w:r w:rsidRPr="510CBEF7">
          <w:rPr>
            <w:rStyle w:val="Hyperlink"/>
          </w:rPr>
          <w:t>https://www.uwo.ca/health/student_support/survivor_support/get-help.html</w:t>
        </w:r>
      </w:hyperlink>
      <w:r>
        <w:t xml:space="preserve">.  </w:t>
      </w:r>
    </w:p>
    <w:p w14:paraId="64E75C18" w14:textId="2FCEE56A" w:rsidR="00266229" w:rsidRPr="00266229" w:rsidRDefault="00266229" w:rsidP="510CBEF7">
      <w:pPr>
        <w:jc w:val="both"/>
        <w:rPr>
          <w:color w:val="0000FF"/>
        </w:rPr>
      </w:pPr>
      <w:r>
        <w:t>To connect with a case manager or set up an appointment, please contact </w:t>
      </w:r>
      <w:r w:rsidRPr="510CBEF7">
        <w:rPr>
          <w:color w:val="0000FF"/>
        </w:rPr>
        <w:t>support@uwo.ca</w:t>
      </w:r>
      <w:r>
        <w:t>.</w:t>
      </w:r>
    </w:p>
    <w:p w14:paraId="25CF6DAC" w14:textId="5602BF29" w:rsidR="00E170A0" w:rsidRPr="0051421C" w:rsidRDefault="0051421C" w:rsidP="510CBEF7">
      <w:pPr>
        <w:spacing w:after="120"/>
        <w:jc w:val="both"/>
        <w:rPr>
          <w:color w:val="0000FF"/>
        </w:rPr>
      </w:pPr>
      <w:r>
        <w:br/>
      </w:r>
      <w:r w:rsidR="00E170A0">
        <w:t xml:space="preserve">Learning-skills counsellors at </w:t>
      </w:r>
      <w:r w:rsidR="00E40E2C">
        <w:t>Learning Development and Success</w:t>
      </w:r>
      <w:r w:rsidR="00E170A0">
        <w:t xml:space="preserve"> (</w:t>
      </w:r>
      <w:hyperlink r:id="rId23">
        <w:r w:rsidR="00A411D6" w:rsidRPr="510CBEF7">
          <w:rPr>
            <w:rStyle w:val="Hyperlink"/>
          </w:rPr>
          <w:t>https://learning.uwo.ca</w:t>
        </w:r>
      </w:hyperlink>
      <w:r w:rsidR="00E170A0">
        <w:t>) are ready to help you improve your learning skills.  They offer presentations on strategies for improving time management, multiple-choice exam preparation/writing, textbook reading, and more.  Individual support is offered throughout the Fall/Winter terms in the drop-in Learning Help Centre, and year-round through individual counselling.</w:t>
      </w:r>
    </w:p>
    <w:p w14:paraId="6C9A6141" w14:textId="53F9A43B" w:rsidR="00784562" w:rsidRDefault="00784562" w:rsidP="510CBEF7">
      <w:pPr>
        <w:jc w:val="both"/>
      </w:pPr>
    </w:p>
    <w:p w14:paraId="32EC335B" w14:textId="1F2B3620" w:rsidR="00556ECC" w:rsidRPr="001C0BCA" w:rsidRDefault="00556ECC" w:rsidP="510CBEF7">
      <w:pPr>
        <w:jc w:val="both"/>
        <w:rPr>
          <w:color w:val="FF0000"/>
        </w:rPr>
      </w:pPr>
      <w:r>
        <w:t xml:space="preserve">Western University is committed to a thriving campus as we deliver our courses in the mixed model of both virtual and face-to-face formats. </w:t>
      </w:r>
      <w:r w:rsidR="00FB2A3C">
        <w:t xml:space="preserve"> </w:t>
      </w:r>
      <w:r>
        <w:t xml:space="preserve">We encourage you to check out the Digital Student Experience website to manage your academics and well-being: </w:t>
      </w:r>
      <w:hyperlink r:id="rId24">
        <w:r w:rsidRPr="510CBEF7">
          <w:rPr>
            <w:rStyle w:val="Hyperlink"/>
          </w:rPr>
          <w:t>https://www.uwo.ca/se/digital/</w:t>
        </w:r>
      </w:hyperlink>
      <w:r>
        <w:t>.</w:t>
      </w:r>
    </w:p>
    <w:p w14:paraId="6D9B34EA" w14:textId="77777777" w:rsidR="003C6E2C" w:rsidRPr="003C6E2C" w:rsidRDefault="003C6E2C" w:rsidP="510CBEF7">
      <w:pPr>
        <w:jc w:val="both"/>
      </w:pPr>
    </w:p>
    <w:p w14:paraId="115C88E5" w14:textId="7EFF6E60" w:rsidR="003545EC" w:rsidRDefault="003C6E2C" w:rsidP="510CBEF7">
      <w:pPr>
        <w:jc w:val="both"/>
        <w:rPr>
          <w:color w:val="0000FF"/>
        </w:rPr>
      </w:pPr>
      <w:r>
        <w:t xml:space="preserve">Additional student-run support services are offered by the USC, </w:t>
      </w:r>
      <w:r w:rsidR="007A071F" w:rsidRPr="510CBEF7">
        <w:rPr>
          <w:color w:val="0000FF"/>
        </w:rPr>
        <w:t> </w:t>
      </w:r>
      <w:hyperlink r:id="rId25">
        <w:r w:rsidR="0044775F" w:rsidRPr="510CBEF7">
          <w:rPr>
            <w:rStyle w:val="Hyperlink"/>
            <w:lang w:val="en-US"/>
          </w:rPr>
          <w:t>https://westernusc.ca/services/</w:t>
        </w:r>
      </w:hyperlink>
      <w:r w:rsidRPr="510CBEF7">
        <w:rPr>
          <w:color w:val="000000" w:themeColor="text1"/>
        </w:rPr>
        <w:t>.</w:t>
      </w:r>
    </w:p>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3C54DB"/>
    <w:multiLevelType w:val="hybridMultilevel"/>
    <w:tmpl w:val="CED69D92"/>
    <w:lvl w:ilvl="0" w:tplc="6A748528">
      <w:start w:val="1"/>
      <w:numFmt w:val="bullet"/>
      <w:lvlText w:val=""/>
      <w:lvlJc w:val="left"/>
      <w:pPr>
        <w:ind w:left="720" w:hanging="360"/>
      </w:pPr>
      <w:rPr>
        <w:rFonts w:ascii="Symbol" w:hAnsi="Symbol" w:hint="default"/>
      </w:rPr>
    </w:lvl>
    <w:lvl w:ilvl="1" w:tplc="CBD8B656">
      <w:start w:val="1"/>
      <w:numFmt w:val="bullet"/>
      <w:lvlText w:val="o"/>
      <w:lvlJc w:val="left"/>
      <w:pPr>
        <w:ind w:left="1440" w:hanging="360"/>
      </w:pPr>
      <w:rPr>
        <w:rFonts w:ascii="Courier New" w:hAnsi="Courier New" w:hint="default"/>
      </w:rPr>
    </w:lvl>
    <w:lvl w:ilvl="2" w:tplc="83C234D0">
      <w:start w:val="1"/>
      <w:numFmt w:val="bullet"/>
      <w:lvlText w:val=""/>
      <w:lvlJc w:val="left"/>
      <w:pPr>
        <w:ind w:left="2160" w:hanging="360"/>
      </w:pPr>
      <w:rPr>
        <w:rFonts w:ascii="Wingdings" w:hAnsi="Wingdings" w:hint="default"/>
      </w:rPr>
    </w:lvl>
    <w:lvl w:ilvl="3" w:tplc="747AEB5C">
      <w:start w:val="1"/>
      <w:numFmt w:val="bullet"/>
      <w:lvlText w:val=""/>
      <w:lvlJc w:val="left"/>
      <w:pPr>
        <w:ind w:left="2880" w:hanging="360"/>
      </w:pPr>
      <w:rPr>
        <w:rFonts w:ascii="Symbol" w:hAnsi="Symbol" w:hint="default"/>
      </w:rPr>
    </w:lvl>
    <w:lvl w:ilvl="4" w:tplc="CC764D7C">
      <w:start w:val="1"/>
      <w:numFmt w:val="bullet"/>
      <w:lvlText w:val="o"/>
      <w:lvlJc w:val="left"/>
      <w:pPr>
        <w:ind w:left="3600" w:hanging="360"/>
      </w:pPr>
      <w:rPr>
        <w:rFonts w:ascii="Courier New" w:hAnsi="Courier New" w:hint="default"/>
      </w:rPr>
    </w:lvl>
    <w:lvl w:ilvl="5" w:tplc="15804978">
      <w:start w:val="1"/>
      <w:numFmt w:val="bullet"/>
      <w:lvlText w:val=""/>
      <w:lvlJc w:val="left"/>
      <w:pPr>
        <w:ind w:left="4320" w:hanging="360"/>
      </w:pPr>
      <w:rPr>
        <w:rFonts w:ascii="Wingdings" w:hAnsi="Wingdings" w:hint="default"/>
      </w:rPr>
    </w:lvl>
    <w:lvl w:ilvl="6" w:tplc="D70ED6A0">
      <w:start w:val="1"/>
      <w:numFmt w:val="bullet"/>
      <w:lvlText w:val=""/>
      <w:lvlJc w:val="left"/>
      <w:pPr>
        <w:ind w:left="5040" w:hanging="360"/>
      </w:pPr>
      <w:rPr>
        <w:rFonts w:ascii="Symbol" w:hAnsi="Symbol" w:hint="default"/>
      </w:rPr>
    </w:lvl>
    <w:lvl w:ilvl="7" w:tplc="39168C90">
      <w:start w:val="1"/>
      <w:numFmt w:val="bullet"/>
      <w:lvlText w:val="o"/>
      <w:lvlJc w:val="left"/>
      <w:pPr>
        <w:ind w:left="5760" w:hanging="360"/>
      </w:pPr>
      <w:rPr>
        <w:rFonts w:ascii="Courier New" w:hAnsi="Courier New" w:hint="default"/>
      </w:rPr>
    </w:lvl>
    <w:lvl w:ilvl="8" w:tplc="DC5E85C2">
      <w:start w:val="1"/>
      <w:numFmt w:val="bullet"/>
      <w:lvlText w:val=""/>
      <w:lvlJc w:val="left"/>
      <w:pPr>
        <w:ind w:left="6480" w:hanging="360"/>
      </w:pPr>
      <w:rPr>
        <w:rFonts w:ascii="Wingdings" w:hAnsi="Wingdings" w:hint="default"/>
      </w:rPr>
    </w:lvl>
  </w:abstractNum>
  <w:num w:numId="1" w16cid:durableId="260767851">
    <w:abstractNumId w:val="4"/>
  </w:num>
  <w:num w:numId="2" w16cid:durableId="828441426">
    <w:abstractNumId w:val="1"/>
  </w:num>
  <w:num w:numId="3" w16cid:durableId="1050150174">
    <w:abstractNumId w:val="0"/>
  </w:num>
  <w:num w:numId="4" w16cid:durableId="1777098073">
    <w:abstractNumId w:val="2"/>
  </w:num>
  <w:num w:numId="5" w16cid:durableId="1437095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7A96"/>
    <w:rsid w:val="000301D0"/>
    <w:rsid w:val="000411FB"/>
    <w:rsid w:val="0005651E"/>
    <w:rsid w:val="00056864"/>
    <w:rsid w:val="00060716"/>
    <w:rsid w:val="00063B29"/>
    <w:rsid w:val="000776C9"/>
    <w:rsid w:val="00081B36"/>
    <w:rsid w:val="00083DAF"/>
    <w:rsid w:val="000908FC"/>
    <w:rsid w:val="00093243"/>
    <w:rsid w:val="00093D84"/>
    <w:rsid w:val="000A1F30"/>
    <w:rsid w:val="000C6706"/>
    <w:rsid w:val="000D2A40"/>
    <w:rsid w:val="000D3A67"/>
    <w:rsid w:val="000E4BA4"/>
    <w:rsid w:val="000F7094"/>
    <w:rsid w:val="00102B7B"/>
    <w:rsid w:val="00102C67"/>
    <w:rsid w:val="00103931"/>
    <w:rsid w:val="00107FF8"/>
    <w:rsid w:val="00121B8A"/>
    <w:rsid w:val="00133718"/>
    <w:rsid w:val="001448F1"/>
    <w:rsid w:val="001462DE"/>
    <w:rsid w:val="00147533"/>
    <w:rsid w:val="00150DE0"/>
    <w:rsid w:val="001532E2"/>
    <w:rsid w:val="00155D4E"/>
    <w:rsid w:val="00166B59"/>
    <w:rsid w:val="00174470"/>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2065A1"/>
    <w:rsid w:val="00206FDB"/>
    <w:rsid w:val="00211599"/>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4F0B"/>
    <w:rsid w:val="002A611F"/>
    <w:rsid w:val="002B4840"/>
    <w:rsid w:val="002B7A9E"/>
    <w:rsid w:val="002B7D47"/>
    <w:rsid w:val="002C3423"/>
    <w:rsid w:val="002D2EFB"/>
    <w:rsid w:val="002D5CA5"/>
    <w:rsid w:val="002F6F57"/>
    <w:rsid w:val="003024DB"/>
    <w:rsid w:val="003037B0"/>
    <w:rsid w:val="003110D6"/>
    <w:rsid w:val="00311AA1"/>
    <w:rsid w:val="00320666"/>
    <w:rsid w:val="00322407"/>
    <w:rsid w:val="00326122"/>
    <w:rsid w:val="0033431A"/>
    <w:rsid w:val="00344527"/>
    <w:rsid w:val="003545EC"/>
    <w:rsid w:val="00355D1E"/>
    <w:rsid w:val="0036257C"/>
    <w:rsid w:val="00373188"/>
    <w:rsid w:val="003733A0"/>
    <w:rsid w:val="00375C6E"/>
    <w:rsid w:val="00380354"/>
    <w:rsid w:val="00384666"/>
    <w:rsid w:val="0038747F"/>
    <w:rsid w:val="003935C8"/>
    <w:rsid w:val="003A1E08"/>
    <w:rsid w:val="003A4361"/>
    <w:rsid w:val="003B25F7"/>
    <w:rsid w:val="003B4E1B"/>
    <w:rsid w:val="003C54B8"/>
    <w:rsid w:val="003C6E2C"/>
    <w:rsid w:val="003D29E7"/>
    <w:rsid w:val="003D4C2D"/>
    <w:rsid w:val="003E0231"/>
    <w:rsid w:val="003E333C"/>
    <w:rsid w:val="003F0C6D"/>
    <w:rsid w:val="00403821"/>
    <w:rsid w:val="00403CC2"/>
    <w:rsid w:val="00405E8C"/>
    <w:rsid w:val="00407E39"/>
    <w:rsid w:val="00430AEB"/>
    <w:rsid w:val="00430CBF"/>
    <w:rsid w:val="004349F5"/>
    <w:rsid w:val="004365CA"/>
    <w:rsid w:val="0043694A"/>
    <w:rsid w:val="0044775F"/>
    <w:rsid w:val="0045512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1421C"/>
    <w:rsid w:val="00525BF1"/>
    <w:rsid w:val="00531567"/>
    <w:rsid w:val="00534549"/>
    <w:rsid w:val="00541B1F"/>
    <w:rsid w:val="00542843"/>
    <w:rsid w:val="00544B45"/>
    <w:rsid w:val="00545F6F"/>
    <w:rsid w:val="00556ECC"/>
    <w:rsid w:val="0056647E"/>
    <w:rsid w:val="005773FF"/>
    <w:rsid w:val="00587074"/>
    <w:rsid w:val="00590A97"/>
    <w:rsid w:val="005953FA"/>
    <w:rsid w:val="00597639"/>
    <w:rsid w:val="00597938"/>
    <w:rsid w:val="005A4D65"/>
    <w:rsid w:val="005C1FF2"/>
    <w:rsid w:val="005D517E"/>
    <w:rsid w:val="005D51D6"/>
    <w:rsid w:val="005D5D82"/>
    <w:rsid w:val="005F122C"/>
    <w:rsid w:val="005F1956"/>
    <w:rsid w:val="00602582"/>
    <w:rsid w:val="00602718"/>
    <w:rsid w:val="006054F8"/>
    <w:rsid w:val="00610064"/>
    <w:rsid w:val="0062588C"/>
    <w:rsid w:val="006363A4"/>
    <w:rsid w:val="00637E77"/>
    <w:rsid w:val="006471DA"/>
    <w:rsid w:val="00657692"/>
    <w:rsid w:val="00681697"/>
    <w:rsid w:val="006861F6"/>
    <w:rsid w:val="006A17AD"/>
    <w:rsid w:val="006A4040"/>
    <w:rsid w:val="006B60A1"/>
    <w:rsid w:val="006D2876"/>
    <w:rsid w:val="006D28B8"/>
    <w:rsid w:val="006E2716"/>
    <w:rsid w:val="006E33A7"/>
    <w:rsid w:val="006E4F11"/>
    <w:rsid w:val="006F2006"/>
    <w:rsid w:val="006F72FE"/>
    <w:rsid w:val="007169B1"/>
    <w:rsid w:val="00723EDE"/>
    <w:rsid w:val="00724514"/>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C6D5B"/>
    <w:rsid w:val="007D2A57"/>
    <w:rsid w:val="007D561A"/>
    <w:rsid w:val="007E56B4"/>
    <w:rsid w:val="007E7FE7"/>
    <w:rsid w:val="007F006F"/>
    <w:rsid w:val="007F42D8"/>
    <w:rsid w:val="007F629F"/>
    <w:rsid w:val="00800BF2"/>
    <w:rsid w:val="0080269C"/>
    <w:rsid w:val="00806B1C"/>
    <w:rsid w:val="00812BA0"/>
    <w:rsid w:val="00814A9E"/>
    <w:rsid w:val="00816581"/>
    <w:rsid w:val="00816C72"/>
    <w:rsid w:val="008273D0"/>
    <w:rsid w:val="008301BF"/>
    <w:rsid w:val="0083099C"/>
    <w:rsid w:val="008331E2"/>
    <w:rsid w:val="00845B86"/>
    <w:rsid w:val="00852477"/>
    <w:rsid w:val="00856E2B"/>
    <w:rsid w:val="0086315A"/>
    <w:rsid w:val="0086594E"/>
    <w:rsid w:val="00867AFD"/>
    <w:rsid w:val="008720B1"/>
    <w:rsid w:val="00873BD0"/>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160A7"/>
    <w:rsid w:val="00920424"/>
    <w:rsid w:val="00923DE7"/>
    <w:rsid w:val="009261E5"/>
    <w:rsid w:val="00931DCF"/>
    <w:rsid w:val="009410F8"/>
    <w:rsid w:val="00966DA2"/>
    <w:rsid w:val="00966F69"/>
    <w:rsid w:val="009761AD"/>
    <w:rsid w:val="00980096"/>
    <w:rsid w:val="009841DC"/>
    <w:rsid w:val="009926DB"/>
    <w:rsid w:val="009A1E1C"/>
    <w:rsid w:val="009A1ECF"/>
    <w:rsid w:val="009C1E92"/>
    <w:rsid w:val="009C7507"/>
    <w:rsid w:val="009D1ED0"/>
    <w:rsid w:val="009D2AC7"/>
    <w:rsid w:val="009D571D"/>
    <w:rsid w:val="009D7F1B"/>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411D6"/>
    <w:rsid w:val="00A53992"/>
    <w:rsid w:val="00A53DA7"/>
    <w:rsid w:val="00A611D5"/>
    <w:rsid w:val="00A72780"/>
    <w:rsid w:val="00A83929"/>
    <w:rsid w:val="00A84D9F"/>
    <w:rsid w:val="00A84E86"/>
    <w:rsid w:val="00A915C7"/>
    <w:rsid w:val="00A9170C"/>
    <w:rsid w:val="00A92B9B"/>
    <w:rsid w:val="00A93A92"/>
    <w:rsid w:val="00AA4030"/>
    <w:rsid w:val="00AA5E12"/>
    <w:rsid w:val="00AC24C1"/>
    <w:rsid w:val="00AC7C0C"/>
    <w:rsid w:val="00AD70A6"/>
    <w:rsid w:val="00AE213B"/>
    <w:rsid w:val="00AF03C1"/>
    <w:rsid w:val="00AF1222"/>
    <w:rsid w:val="00AF5B18"/>
    <w:rsid w:val="00B018DB"/>
    <w:rsid w:val="00B01AE0"/>
    <w:rsid w:val="00B1296A"/>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7F92"/>
    <w:rsid w:val="00BD1C26"/>
    <w:rsid w:val="00BE1304"/>
    <w:rsid w:val="00BE6D96"/>
    <w:rsid w:val="00C169FF"/>
    <w:rsid w:val="00C22C65"/>
    <w:rsid w:val="00C25D9E"/>
    <w:rsid w:val="00C4015E"/>
    <w:rsid w:val="00C41206"/>
    <w:rsid w:val="00C5116C"/>
    <w:rsid w:val="00C5190A"/>
    <w:rsid w:val="00C53B15"/>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C10"/>
    <w:rsid w:val="00D60E36"/>
    <w:rsid w:val="00D674EE"/>
    <w:rsid w:val="00D7028B"/>
    <w:rsid w:val="00D9475F"/>
    <w:rsid w:val="00D96881"/>
    <w:rsid w:val="00DA1AF5"/>
    <w:rsid w:val="00DB4423"/>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6583A"/>
    <w:rsid w:val="00E73DBD"/>
    <w:rsid w:val="00E747BB"/>
    <w:rsid w:val="00E84519"/>
    <w:rsid w:val="00E84F2E"/>
    <w:rsid w:val="00E85AA5"/>
    <w:rsid w:val="00E925CE"/>
    <w:rsid w:val="00EA5868"/>
    <w:rsid w:val="00EA7C54"/>
    <w:rsid w:val="00EB0085"/>
    <w:rsid w:val="00EB6248"/>
    <w:rsid w:val="00EB6FC6"/>
    <w:rsid w:val="00EBDD95"/>
    <w:rsid w:val="00EC4A59"/>
    <w:rsid w:val="00EC4DCD"/>
    <w:rsid w:val="00EC6474"/>
    <w:rsid w:val="00EE69FD"/>
    <w:rsid w:val="00EF71E0"/>
    <w:rsid w:val="00F102FE"/>
    <w:rsid w:val="00F14154"/>
    <w:rsid w:val="00F16FC9"/>
    <w:rsid w:val="00F234F0"/>
    <w:rsid w:val="00F252C4"/>
    <w:rsid w:val="00F4318B"/>
    <w:rsid w:val="00F507D9"/>
    <w:rsid w:val="00F65817"/>
    <w:rsid w:val="00F735AF"/>
    <w:rsid w:val="00F779A9"/>
    <w:rsid w:val="00F77C85"/>
    <w:rsid w:val="00F84EB9"/>
    <w:rsid w:val="00F97D01"/>
    <w:rsid w:val="00F97EAD"/>
    <w:rsid w:val="00FA2D05"/>
    <w:rsid w:val="00FA69FD"/>
    <w:rsid w:val="00FB2A3C"/>
    <w:rsid w:val="00FC5AE5"/>
    <w:rsid w:val="00FD7980"/>
    <w:rsid w:val="00FE2186"/>
    <w:rsid w:val="00FF1510"/>
    <w:rsid w:val="00FF369B"/>
    <w:rsid w:val="00FF3C4E"/>
    <w:rsid w:val="0169CF09"/>
    <w:rsid w:val="01A6DCBF"/>
    <w:rsid w:val="02FF04D2"/>
    <w:rsid w:val="04CC3E15"/>
    <w:rsid w:val="050E5CB9"/>
    <w:rsid w:val="050F9055"/>
    <w:rsid w:val="070C1E82"/>
    <w:rsid w:val="07EE0094"/>
    <w:rsid w:val="08EF7E93"/>
    <w:rsid w:val="09BFC7A5"/>
    <w:rsid w:val="0A274041"/>
    <w:rsid w:val="0C1787B2"/>
    <w:rsid w:val="0EE946A1"/>
    <w:rsid w:val="0EF4DDA9"/>
    <w:rsid w:val="0FA485B9"/>
    <w:rsid w:val="0FD755EF"/>
    <w:rsid w:val="105B2D9E"/>
    <w:rsid w:val="10E3B6E9"/>
    <w:rsid w:val="1310E622"/>
    <w:rsid w:val="13D03E06"/>
    <w:rsid w:val="1447E330"/>
    <w:rsid w:val="15161FA8"/>
    <w:rsid w:val="15806168"/>
    <w:rsid w:val="17B91C26"/>
    <w:rsid w:val="1809F0DF"/>
    <w:rsid w:val="18E77CC8"/>
    <w:rsid w:val="1A8B3D83"/>
    <w:rsid w:val="1D18CF8C"/>
    <w:rsid w:val="1DA4C4BA"/>
    <w:rsid w:val="1E100A1E"/>
    <w:rsid w:val="1E1769B4"/>
    <w:rsid w:val="1FFC5ED5"/>
    <w:rsid w:val="200F9631"/>
    <w:rsid w:val="2294481B"/>
    <w:rsid w:val="22C788D9"/>
    <w:rsid w:val="23EEECC8"/>
    <w:rsid w:val="24FC08D0"/>
    <w:rsid w:val="252D2DC6"/>
    <w:rsid w:val="274289A1"/>
    <w:rsid w:val="28CAD7E3"/>
    <w:rsid w:val="299ABB6C"/>
    <w:rsid w:val="2AAFBB02"/>
    <w:rsid w:val="2B680BEA"/>
    <w:rsid w:val="2DC713AB"/>
    <w:rsid w:val="2DCE5881"/>
    <w:rsid w:val="2DD68636"/>
    <w:rsid w:val="2E3CB071"/>
    <w:rsid w:val="2EBC7E09"/>
    <w:rsid w:val="2F2B4995"/>
    <w:rsid w:val="2F2BEA90"/>
    <w:rsid w:val="2FFC830E"/>
    <w:rsid w:val="3045351A"/>
    <w:rsid w:val="31523310"/>
    <w:rsid w:val="3153623B"/>
    <w:rsid w:val="323570AB"/>
    <w:rsid w:val="339BB0FE"/>
    <w:rsid w:val="340B0284"/>
    <w:rsid w:val="344B81A5"/>
    <w:rsid w:val="3472E756"/>
    <w:rsid w:val="34E5F694"/>
    <w:rsid w:val="355A5D8E"/>
    <w:rsid w:val="35D4DC76"/>
    <w:rsid w:val="364452A4"/>
    <w:rsid w:val="37390FED"/>
    <w:rsid w:val="38FCC599"/>
    <w:rsid w:val="39C83EB5"/>
    <w:rsid w:val="3BB9750C"/>
    <w:rsid w:val="3C0EDD34"/>
    <w:rsid w:val="3D3C5BA3"/>
    <w:rsid w:val="3DD64CEA"/>
    <w:rsid w:val="3E24962E"/>
    <w:rsid w:val="3E607082"/>
    <w:rsid w:val="3E9955C3"/>
    <w:rsid w:val="4048699A"/>
    <w:rsid w:val="423249CC"/>
    <w:rsid w:val="42718CD5"/>
    <w:rsid w:val="43E3E955"/>
    <w:rsid w:val="44EE50F8"/>
    <w:rsid w:val="45708296"/>
    <w:rsid w:val="457426AE"/>
    <w:rsid w:val="45FCB553"/>
    <w:rsid w:val="47040C7E"/>
    <w:rsid w:val="47E241CF"/>
    <w:rsid w:val="489F18E9"/>
    <w:rsid w:val="49B66993"/>
    <w:rsid w:val="4A8521BE"/>
    <w:rsid w:val="4AA54702"/>
    <w:rsid w:val="4ABC4669"/>
    <w:rsid w:val="4C539A59"/>
    <w:rsid w:val="4D3BEC39"/>
    <w:rsid w:val="4F8E1441"/>
    <w:rsid w:val="5007D9E6"/>
    <w:rsid w:val="500D0CAB"/>
    <w:rsid w:val="5032FE78"/>
    <w:rsid w:val="506B3813"/>
    <w:rsid w:val="5096CCCF"/>
    <w:rsid w:val="510CBEF7"/>
    <w:rsid w:val="5164D27D"/>
    <w:rsid w:val="51AEE138"/>
    <w:rsid w:val="53A383CF"/>
    <w:rsid w:val="54A75E0A"/>
    <w:rsid w:val="54CC926C"/>
    <w:rsid w:val="5659E824"/>
    <w:rsid w:val="57340751"/>
    <w:rsid w:val="57C9939B"/>
    <w:rsid w:val="57E33B8F"/>
    <w:rsid w:val="583C4C22"/>
    <w:rsid w:val="594B2ABA"/>
    <w:rsid w:val="5AAC9B92"/>
    <w:rsid w:val="5AFFF007"/>
    <w:rsid w:val="5B90F42D"/>
    <w:rsid w:val="5C7AECAA"/>
    <w:rsid w:val="5D1B7F6D"/>
    <w:rsid w:val="5E51F4B2"/>
    <w:rsid w:val="5E8BBDCE"/>
    <w:rsid w:val="5F2C6ADC"/>
    <w:rsid w:val="62D42374"/>
    <w:rsid w:val="633F6E90"/>
    <w:rsid w:val="65451A67"/>
    <w:rsid w:val="672E7350"/>
    <w:rsid w:val="6764D06E"/>
    <w:rsid w:val="679CBA0D"/>
    <w:rsid w:val="67B9A913"/>
    <w:rsid w:val="67DF503C"/>
    <w:rsid w:val="67F2818F"/>
    <w:rsid w:val="68B032BE"/>
    <w:rsid w:val="695A0CC9"/>
    <w:rsid w:val="6990CFA8"/>
    <w:rsid w:val="699C8191"/>
    <w:rsid w:val="69B2BFAC"/>
    <w:rsid w:val="6A342A81"/>
    <w:rsid w:val="6B361D9D"/>
    <w:rsid w:val="6B97B878"/>
    <w:rsid w:val="6BEB4096"/>
    <w:rsid w:val="6C395A01"/>
    <w:rsid w:val="6CDB569D"/>
    <w:rsid w:val="6DEFD458"/>
    <w:rsid w:val="6E4DB42F"/>
    <w:rsid w:val="71B77DDC"/>
    <w:rsid w:val="7205D003"/>
    <w:rsid w:val="7245FC68"/>
    <w:rsid w:val="7284D540"/>
    <w:rsid w:val="730480F9"/>
    <w:rsid w:val="73399BE1"/>
    <w:rsid w:val="7359D7E6"/>
    <w:rsid w:val="74205CB5"/>
    <w:rsid w:val="744F1201"/>
    <w:rsid w:val="774F6C3F"/>
    <w:rsid w:val="7842445D"/>
    <w:rsid w:val="78AA6560"/>
    <w:rsid w:val="7900FAE4"/>
    <w:rsid w:val="79275CC7"/>
    <w:rsid w:val="7ABEABC5"/>
    <w:rsid w:val="7C51701B"/>
    <w:rsid w:val="7DAC51D7"/>
    <w:rsid w:val="7E4C691F"/>
    <w:rsid w:val="7E525CC8"/>
    <w:rsid w:val="7EF35FD8"/>
    <w:rsid w:val="7F9AA2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support.uwo.ca/accessible_education/" TargetMode="External"/><Relationship Id="rId13" Type="http://schemas.openxmlformats.org/officeDocument/2006/relationships/hyperlink" Target="https://www.registrar.uwo.ca/" TargetMode="External"/><Relationship Id="rId18" Type="http://schemas.openxmlformats.org/officeDocument/2006/relationships/hyperlink" Target="https://uwo.ca/univsec//pdf/academic_policies/appeals/scholastic_offences.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wo.ca/health/" TargetMode="External"/><Relationship Id="rId7" Type="http://schemas.openxmlformats.org/officeDocument/2006/relationships/hyperlink" Target="https://www.uwo.ca/univsec/pdf/academic_policies/appeals/academic_consideration_Sep24.pdf" TargetMode="External"/><Relationship Id="rId12" Type="http://schemas.openxmlformats.org/officeDocument/2006/relationships/hyperlink" Target="https://www.uwo.ca/univsec/pdf/academic_policies/appeals/Academic%20Accommodation_disabilities.pdf" TargetMode="External"/><Relationship Id="rId17" Type="http://schemas.openxmlformats.org/officeDocument/2006/relationships/hyperlink" Target="https://uwo.ca/univsec//pdf/academic_policies/appeals/graduate_requests_for_relief_procedure.pdf" TargetMode="External"/><Relationship Id="rId25" Type="http://schemas.openxmlformats.org/officeDocument/2006/relationships/hyperlink" Target="https://westernusc.ca/services/" TargetMode="External"/><Relationship Id="rId2" Type="http://schemas.openxmlformats.org/officeDocument/2006/relationships/styles" Target="styles.xml"/><Relationship Id="rId16" Type="http://schemas.openxmlformats.org/officeDocument/2006/relationships/hyperlink" Target="https://uwo.ca/univsec//pdf/academic_policies/appeals/undergrad_requests_for_relief_procedure.pdf" TargetMode="External"/><Relationship Id="rId20" Type="http://schemas.openxmlformats.org/officeDocument/2006/relationships/hyperlink" Target="https://www.uwo.ca/sci/counselling/" TargetMode="External"/><Relationship Id="rId1" Type="http://schemas.openxmlformats.org/officeDocument/2006/relationships/numbering" Target="numbering.xml"/><Relationship Id="rId6" Type="http://schemas.openxmlformats.org/officeDocument/2006/relationships/hyperlink" Target="https://brightspacehelp.uwo.ca/" TargetMode="External"/><Relationship Id="rId11" Type="http://schemas.openxmlformats.org/officeDocument/2006/relationships/hyperlink" Target="https://www.edi.uwo.ca" TargetMode="External"/><Relationship Id="rId24" Type="http://schemas.openxmlformats.org/officeDocument/2006/relationships/hyperlink" Target="https://www.uwo.ca/se/digital/" TargetMode="External"/><Relationship Id="rId5" Type="http://schemas.openxmlformats.org/officeDocument/2006/relationships/image" Target="media/image1.png"/><Relationship Id="rId15" Type="http://schemas.openxmlformats.org/officeDocument/2006/relationships/hyperlink" Target="https://uwo.ca/univsec//pdf/academic_policies/appeals/requests_for_relief_from_academic_decisions.pdf" TargetMode="External"/><Relationship Id="rId23" Type="http://schemas.openxmlformats.org/officeDocument/2006/relationships/hyperlink" Target="https://learning.uwo.ca/" TargetMode="External"/><Relationship Id="rId10" Type="http://schemas.openxmlformats.org/officeDocument/2006/relationships/hyperlink" Target="https://www.westerncalendar.uwo.ca/PolicyPages.cfm?Command=showCategory&amp;PolicyCategoryID=5&amp;SelectedCalendar=Live&amp;ArchiveID=" TargetMode="External"/><Relationship Id="rId19" Type="http://schemas.openxmlformats.org/officeDocument/2006/relationships/hyperlink" Target="https://uwo.ca/univsec//pdf/academic_policies/appeals/undergrad_scholastic_offence_procedure.pdf" TargetMode="External"/><Relationship Id="rId4" Type="http://schemas.openxmlformats.org/officeDocument/2006/relationships/webSettings" Target="webSettings.xml"/><Relationship Id="rId9" Type="http://schemas.openxmlformats.org/officeDocument/2006/relationships/hyperlink" Target="https://registrar.uwo.ca/academics/academic_considerations/" TargetMode="External"/><Relationship Id="rId14" Type="http://schemas.openxmlformats.org/officeDocument/2006/relationships/hyperlink" Target="https://www.uwo.ca/univsec/pdf/policies_procedures/section1/mapp113.pdf" TargetMode="External"/><Relationship Id="rId22" Type="http://schemas.openxmlformats.org/officeDocument/2006/relationships/hyperlink" Target="https://www.uwo.ca/health/student_support/survivor_support/get-help.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Ajneet Dhillon</cp:lastModifiedBy>
  <cp:revision>36</cp:revision>
  <dcterms:created xsi:type="dcterms:W3CDTF">2024-11-27T13:09:00Z</dcterms:created>
  <dcterms:modified xsi:type="dcterms:W3CDTF">2025-08-12T12:55:00Z</dcterms:modified>
</cp:coreProperties>
</file>