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2AC28D8E" w:rsidR="00CE3E7F" w:rsidRPr="0009148F" w:rsidRDefault="00CE3E7F" w:rsidP="00CE3E7F">
      <w:pPr>
        <w:ind w:right="6"/>
        <w:jc w:val="right"/>
        <w:rPr>
          <w:rFonts w:ascii="Avenir" w:hAnsi="Avenir" w:cs="Calibri"/>
          <w:b/>
          <w:bCs/>
          <w:color w:val="000000" w:themeColor="text1"/>
          <w:sz w:val="22"/>
          <w:szCs w:val="22"/>
        </w:rPr>
      </w:pPr>
      <w:r w:rsidRPr="0009148F">
        <w:rPr>
          <w:rFonts w:ascii="Avenir" w:hAnsi="Avenir" w:cs="Calibri"/>
          <w:b/>
          <w:noProof/>
          <w:color w:val="000000" w:themeColor="text1"/>
          <w:sz w:val="22"/>
          <w:szCs w:val="22"/>
          <w:lang w:val="en-US" w:eastAsia="en-US"/>
        </w:rPr>
        <w:drawing>
          <wp:anchor distT="0" distB="0" distL="114300" distR="114300" simplePos="0" relativeHeight="251658240" behindDoc="1" locked="0" layoutInCell="1" allowOverlap="1" wp14:anchorId="329F9858" wp14:editId="1BCCE307">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0009148F">
        <w:rPr>
          <w:rFonts w:ascii="Avenir" w:hAnsi="Avenir" w:cs="Calibri"/>
          <w:b/>
          <w:bCs/>
          <w:color w:val="000000" w:themeColor="text1"/>
          <w:sz w:val="22"/>
          <w:szCs w:val="22"/>
        </w:rPr>
        <w:t xml:space="preserve">Department of </w:t>
      </w:r>
      <w:r w:rsidR="0009148F" w:rsidRPr="0009148F">
        <w:rPr>
          <w:rFonts w:ascii="Avenir" w:hAnsi="Avenir" w:cs="Calibri"/>
          <w:b/>
          <w:bCs/>
          <w:color w:val="000000" w:themeColor="text1"/>
          <w:sz w:val="22"/>
          <w:szCs w:val="22"/>
        </w:rPr>
        <w:t>Mathematics</w:t>
      </w:r>
      <w:r w:rsidRPr="0009148F">
        <w:rPr>
          <w:rFonts w:ascii="Avenir" w:hAnsi="Avenir" w:cs="Calibri"/>
          <w:b/>
          <w:bCs/>
          <w:color w:val="000000" w:themeColor="text1"/>
          <w:sz w:val="22"/>
          <w:szCs w:val="22"/>
          <w:highlight w:val="yellow"/>
        </w:rPr>
        <w:fldChar w:fldCharType="begin"/>
      </w:r>
      <w:r w:rsidR="00D40EBE" w:rsidRPr="0009148F">
        <w:rPr>
          <w:rFonts w:ascii="Avenir" w:hAnsi="Avenir" w:cs="Calibri"/>
          <w:b/>
          <w:bCs/>
          <w:color w:val="000000" w:themeColor="text1"/>
          <w:sz w:val="22"/>
          <w:szCs w:val="22"/>
          <w:highlight w:val="yellow"/>
        </w:rPr>
        <w:instrText xml:space="preserve"> INCLUDEPICTURE "C:\\var\\folders\\8p\\r6vl783d6qg828r38lvg32ch0000gn\\T\\com.microsoft.Word\\WebArchiveCopyPasteTempFiles\\Sci_Stacked_PurpleGrey.png" \* MERGEFORMAT </w:instrText>
      </w:r>
      <w:r w:rsidRPr="0009148F">
        <w:rPr>
          <w:rFonts w:ascii="Avenir" w:hAnsi="Avenir" w:cs="Calibri"/>
          <w:b/>
          <w:bCs/>
          <w:color w:val="000000" w:themeColor="text1"/>
          <w:sz w:val="22"/>
          <w:szCs w:val="22"/>
          <w:highlight w:val="yellow"/>
        </w:rPr>
        <w:fldChar w:fldCharType="end"/>
      </w:r>
    </w:p>
    <w:p w14:paraId="0448B69C" w14:textId="77777777" w:rsidR="00CE3E7F" w:rsidRPr="0009148F" w:rsidRDefault="00CE3E7F" w:rsidP="00CF2B11">
      <w:pPr>
        <w:rPr>
          <w:b/>
          <w:bCs/>
          <w:color w:val="000000" w:themeColor="text1"/>
        </w:rPr>
      </w:pPr>
    </w:p>
    <w:p w14:paraId="2CB08426" w14:textId="10A085F4" w:rsidR="00CA2D6B" w:rsidRPr="0009148F" w:rsidRDefault="00CA2D6B" w:rsidP="00CF2B11">
      <w:pPr>
        <w:rPr>
          <w:b/>
          <w:bCs/>
          <w:color w:val="000000" w:themeColor="text1"/>
        </w:rPr>
      </w:pPr>
    </w:p>
    <w:p w14:paraId="793F9F01" w14:textId="77777777" w:rsidR="00BB3577" w:rsidRPr="0009148F" w:rsidRDefault="00BB3577" w:rsidP="00CF2B11">
      <w:pPr>
        <w:rPr>
          <w:bCs/>
          <w:color w:val="000000" w:themeColor="text1"/>
        </w:rPr>
      </w:pPr>
    </w:p>
    <w:p w14:paraId="329E75B6" w14:textId="3A2ED5C4" w:rsidR="003F0C6D" w:rsidRPr="0009148F" w:rsidRDefault="00597639" w:rsidP="00597639">
      <w:pPr>
        <w:tabs>
          <w:tab w:val="center" w:pos="5040"/>
        </w:tabs>
        <w:rPr>
          <w:b/>
          <w:color w:val="000000" w:themeColor="text1"/>
          <w:sz w:val="36"/>
          <w:szCs w:val="36"/>
        </w:rPr>
      </w:pPr>
      <w:r w:rsidRPr="0009148F">
        <w:rPr>
          <w:b/>
          <w:color w:val="000000" w:themeColor="text1"/>
          <w:sz w:val="36"/>
          <w:szCs w:val="36"/>
        </w:rPr>
        <w:tab/>
      </w:r>
      <w:r w:rsidR="005230E5">
        <w:rPr>
          <w:b/>
          <w:color w:val="000000" w:themeColor="text1"/>
          <w:sz w:val="36"/>
          <w:szCs w:val="36"/>
        </w:rPr>
        <w:t>Mathematics 3122A</w:t>
      </w:r>
      <w:r w:rsidRPr="0009148F">
        <w:rPr>
          <w:b/>
          <w:color w:val="000000" w:themeColor="text1"/>
          <w:sz w:val="36"/>
          <w:szCs w:val="36"/>
        </w:rPr>
        <w:t xml:space="preserve"> Course Outline</w:t>
      </w:r>
    </w:p>
    <w:p w14:paraId="170FD97C" w14:textId="77777777" w:rsidR="00597639" w:rsidRPr="0009148F" w:rsidRDefault="00597639" w:rsidP="00CF2B11">
      <w:pPr>
        <w:rPr>
          <w:bCs/>
          <w:color w:val="000000" w:themeColor="text1"/>
        </w:rPr>
      </w:pPr>
    </w:p>
    <w:p w14:paraId="56483DA0" w14:textId="0F11FFDE" w:rsidR="00326122" w:rsidRPr="0009148F" w:rsidRDefault="00B451DA" w:rsidP="00CF2B11">
      <w:pPr>
        <w:rPr>
          <w:b/>
          <w:bCs/>
          <w:color w:val="000000" w:themeColor="text1"/>
          <w:sz w:val="36"/>
          <w:szCs w:val="36"/>
        </w:rPr>
      </w:pPr>
      <w:r w:rsidRPr="0009148F">
        <w:rPr>
          <w:b/>
          <w:bCs/>
          <w:color w:val="000000" w:themeColor="text1"/>
          <w:sz w:val="36"/>
          <w:szCs w:val="36"/>
        </w:rPr>
        <w:t>1. Course Information</w:t>
      </w:r>
    </w:p>
    <w:p w14:paraId="4091B187" w14:textId="77777777" w:rsidR="00B451DA" w:rsidRPr="0009148F" w:rsidRDefault="00B451DA" w:rsidP="00CF2B11">
      <w:pPr>
        <w:rPr>
          <w:bCs/>
          <w:color w:val="000000" w:themeColor="text1"/>
        </w:rPr>
      </w:pPr>
    </w:p>
    <w:p w14:paraId="04168503" w14:textId="77777777" w:rsidR="003F0C6D" w:rsidRPr="0009148F" w:rsidRDefault="003F0C6D" w:rsidP="00CF2B11">
      <w:pPr>
        <w:rPr>
          <w:bCs/>
          <w:color w:val="000000" w:themeColor="text1"/>
        </w:rPr>
      </w:pPr>
      <w:r w:rsidRPr="0009148F">
        <w:rPr>
          <w:b/>
          <w:bCs/>
          <w:color w:val="000000" w:themeColor="text1"/>
        </w:rPr>
        <w:t>Course Information</w:t>
      </w:r>
      <w:r w:rsidRPr="0009148F">
        <w:rPr>
          <w:bCs/>
          <w:color w:val="000000" w:themeColor="text1"/>
        </w:rPr>
        <w:t xml:space="preserve"> </w:t>
      </w:r>
    </w:p>
    <w:p w14:paraId="6EF978E9" w14:textId="51B35468" w:rsidR="00CF2B11" w:rsidRPr="0009148F" w:rsidRDefault="00FA3796" w:rsidP="00CF2B11">
      <w:pPr>
        <w:rPr>
          <w:bCs/>
          <w:color w:val="000000" w:themeColor="text1"/>
        </w:rPr>
      </w:pPr>
      <w:r>
        <w:rPr>
          <w:bCs/>
          <w:color w:val="000000" w:themeColor="text1"/>
        </w:rPr>
        <w:t xml:space="preserve">Mathematics 3122A Real Analysis II, Fall 2025, September-December 2025, </w:t>
      </w:r>
    </w:p>
    <w:p w14:paraId="1A9611B6" w14:textId="77777777" w:rsidR="006D28B8" w:rsidRPr="0009148F" w:rsidRDefault="006D28B8" w:rsidP="00CF2B11">
      <w:pPr>
        <w:rPr>
          <w:color w:val="000000" w:themeColor="text1"/>
        </w:rPr>
      </w:pPr>
    </w:p>
    <w:p w14:paraId="555B3488" w14:textId="77777777" w:rsidR="00CA7E7D" w:rsidRPr="0009148F" w:rsidRDefault="00CA7E7D" w:rsidP="00CF2B11">
      <w:pPr>
        <w:rPr>
          <w:bCs/>
          <w:color w:val="000000" w:themeColor="text1"/>
        </w:rPr>
      </w:pPr>
    </w:p>
    <w:p w14:paraId="701BECC0" w14:textId="26EB5F60" w:rsidR="003F0C6D" w:rsidRPr="0009148F" w:rsidRDefault="00681697" w:rsidP="00CF2B11">
      <w:pPr>
        <w:rPr>
          <w:bCs/>
          <w:color w:val="000000" w:themeColor="text1"/>
        </w:rPr>
      </w:pPr>
      <w:r w:rsidRPr="0009148F">
        <w:rPr>
          <w:b/>
          <w:bCs/>
          <w:color w:val="000000" w:themeColor="text1"/>
        </w:rPr>
        <w:t xml:space="preserve">List of </w:t>
      </w:r>
      <w:r w:rsidR="003F0C6D" w:rsidRPr="0009148F">
        <w:rPr>
          <w:b/>
          <w:bCs/>
          <w:color w:val="000000" w:themeColor="text1"/>
        </w:rPr>
        <w:t>Prerequisite</w:t>
      </w:r>
      <w:r w:rsidRPr="0009148F">
        <w:rPr>
          <w:b/>
          <w:bCs/>
          <w:color w:val="000000" w:themeColor="text1"/>
        </w:rPr>
        <w:t xml:space="preserve">s </w:t>
      </w:r>
    </w:p>
    <w:p w14:paraId="630C47AA" w14:textId="7ABDE14F" w:rsidR="003F0C6D" w:rsidRPr="0009148F" w:rsidRDefault="009A4474" w:rsidP="00CF2B11">
      <w:pPr>
        <w:rPr>
          <w:bCs/>
          <w:color w:val="000000" w:themeColor="text1"/>
        </w:rPr>
      </w:pPr>
      <w:r>
        <w:rPr>
          <w:bCs/>
          <w:color w:val="000000" w:themeColor="text1"/>
        </w:rPr>
        <w:t>Mathematics 2122A/B with a minimum mark of 60%</w:t>
      </w:r>
      <w:r w:rsidR="003F0C6D" w:rsidRPr="0009148F">
        <w:rPr>
          <w:bCs/>
          <w:color w:val="000000" w:themeColor="text1"/>
        </w:rPr>
        <w:t xml:space="preserve">. </w:t>
      </w:r>
    </w:p>
    <w:p w14:paraId="76A152B8" w14:textId="77777777" w:rsidR="006D28B8" w:rsidRPr="0009148F" w:rsidRDefault="006D28B8" w:rsidP="00CF2B11">
      <w:pPr>
        <w:rPr>
          <w:bCs/>
          <w:color w:val="000000" w:themeColor="text1"/>
        </w:rPr>
      </w:pPr>
    </w:p>
    <w:p w14:paraId="0E45FEE5" w14:textId="77777777" w:rsidR="00CA7E7D" w:rsidRPr="0009148F" w:rsidRDefault="00CA7E7D" w:rsidP="00CF2B11">
      <w:pPr>
        <w:rPr>
          <w:bCs/>
          <w:color w:val="000000" w:themeColor="text1"/>
        </w:rPr>
      </w:pPr>
    </w:p>
    <w:p w14:paraId="69262065" w14:textId="00AD1FD2" w:rsidR="00CF2B11" w:rsidRPr="0009148F" w:rsidRDefault="00CF2B11" w:rsidP="00CF2B11">
      <w:pPr>
        <w:rPr>
          <w:bCs/>
          <w:color w:val="000000" w:themeColor="text1"/>
        </w:rPr>
      </w:pPr>
      <w:r w:rsidRPr="0009148F">
        <w:rPr>
          <w:bCs/>
          <w:color w:val="000000" w:themeColor="text1"/>
        </w:rPr>
        <w:t xml:space="preserve">Unless you have either the </w:t>
      </w:r>
      <w:r w:rsidR="00A611D5" w:rsidRPr="0009148F">
        <w:rPr>
          <w:bCs/>
          <w:color w:val="000000" w:themeColor="text1"/>
        </w:rPr>
        <w:t>pre</w:t>
      </w:r>
      <w:r w:rsidRPr="0009148F">
        <w:rPr>
          <w:bCs/>
          <w:color w:val="000000" w:themeColor="text1"/>
        </w:rPr>
        <w:t xml:space="preserve">requisites for this course or written special permission from </w:t>
      </w:r>
      <w:r w:rsidR="000D3A67" w:rsidRPr="0009148F">
        <w:rPr>
          <w:bCs/>
          <w:color w:val="000000" w:themeColor="text1"/>
        </w:rPr>
        <w:t>the</w:t>
      </w:r>
      <w:r w:rsidRPr="0009148F">
        <w:rPr>
          <w:bCs/>
          <w:color w:val="000000" w:themeColor="text1"/>
        </w:rPr>
        <w:t xml:space="preserve"> </w:t>
      </w:r>
      <w:r w:rsidR="00E84519" w:rsidRPr="0009148F">
        <w:rPr>
          <w:bCs/>
          <w:color w:val="000000" w:themeColor="text1"/>
        </w:rPr>
        <w:t>Department</w:t>
      </w:r>
      <w:r w:rsidR="000D3A67" w:rsidRPr="0009148F">
        <w:rPr>
          <w:bCs/>
          <w:color w:val="000000" w:themeColor="text1"/>
        </w:rPr>
        <w:t xml:space="preserve"> of </w:t>
      </w:r>
      <w:r w:rsidR="0009148F" w:rsidRPr="0009148F">
        <w:rPr>
          <w:bCs/>
          <w:color w:val="000000" w:themeColor="text1"/>
        </w:rPr>
        <w:t>Mathematics</w:t>
      </w:r>
      <w:r w:rsidR="003E0231" w:rsidRPr="0009148F">
        <w:rPr>
          <w:bCs/>
          <w:color w:val="000000" w:themeColor="text1"/>
        </w:rPr>
        <w:t xml:space="preserve"> </w:t>
      </w:r>
      <w:r w:rsidRPr="0009148F">
        <w:rPr>
          <w:bCs/>
          <w:color w:val="000000" w:themeColor="text1"/>
        </w:rPr>
        <w:t xml:space="preserve">to enroll in it, you may be </w:t>
      </w:r>
      <w:r w:rsidR="000D3A67" w:rsidRPr="0009148F">
        <w:rPr>
          <w:bCs/>
          <w:color w:val="000000" w:themeColor="text1"/>
        </w:rPr>
        <w:t xml:space="preserve">removed and </w:t>
      </w:r>
      <w:r w:rsidR="00A611D5" w:rsidRPr="0009148F">
        <w:rPr>
          <w:bCs/>
          <w:color w:val="000000" w:themeColor="text1"/>
        </w:rPr>
        <w:t>withdrawn</w:t>
      </w:r>
      <w:r w:rsidRPr="0009148F">
        <w:rPr>
          <w:bCs/>
          <w:color w:val="000000" w:themeColor="text1"/>
        </w:rPr>
        <w:t xml:space="preserve"> from this course</w:t>
      </w:r>
      <w:r w:rsidR="00E6583A" w:rsidRPr="0009148F">
        <w:rPr>
          <w:bCs/>
          <w:color w:val="000000" w:themeColor="text1"/>
        </w:rPr>
        <w:t xml:space="preserve"> </w:t>
      </w:r>
      <w:r w:rsidR="0038747F" w:rsidRPr="0009148F">
        <w:rPr>
          <w:bCs/>
          <w:color w:val="000000" w:themeColor="text1"/>
        </w:rPr>
        <w:t xml:space="preserve">in accordance with </w:t>
      </w:r>
      <w:r w:rsidR="00E6583A" w:rsidRPr="0009148F">
        <w:rPr>
          <w:bCs/>
          <w:color w:val="000000" w:themeColor="text1"/>
        </w:rPr>
        <w:t>university policy</w:t>
      </w:r>
      <w:r w:rsidRPr="0009148F">
        <w:rPr>
          <w:bCs/>
          <w:color w:val="000000" w:themeColor="text1"/>
        </w:rPr>
        <w:t>.</w:t>
      </w:r>
      <w:r w:rsidR="00852477" w:rsidRPr="0009148F">
        <w:rPr>
          <w:bCs/>
          <w:color w:val="000000" w:themeColor="text1"/>
        </w:rPr>
        <w:t xml:space="preserve"> </w:t>
      </w:r>
      <w:r w:rsidR="003D4C2D" w:rsidRPr="0009148F">
        <w:rPr>
          <w:bCs/>
          <w:color w:val="000000" w:themeColor="text1"/>
        </w:rPr>
        <w:t xml:space="preserve">This may be done after the add/drop deadline of the academic term, and </w:t>
      </w:r>
      <w:r w:rsidR="001B3993" w:rsidRPr="0009148F">
        <w:rPr>
          <w:bCs/>
          <w:color w:val="000000" w:themeColor="text1"/>
        </w:rPr>
        <w:t xml:space="preserve">the course will be marked as withdrawn (WDN) on </w:t>
      </w:r>
      <w:r w:rsidR="00545F6F" w:rsidRPr="0009148F">
        <w:rPr>
          <w:bCs/>
          <w:color w:val="000000" w:themeColor="text1"/>
        </w:rPr>
        <w:t xml:space="preserve">your academic record. </w:t>
      </w:r>
      <w:r w:rsidRPr="0009148F">
        <w:rPr>
          <w:bCs/>
          <w:color w:val="000000" w:themeColor="text1"/>
        </w:rPr>
        <w:t>Thi</w:t>
      </w:r>
      <w:r w:rsidR="00545F6F" w:rsidRPr="0009148F">
        <w:rPr>
          <w:bCs/>
          <w:color w:val="000000" w:themeColor="text1"/>
        </w:rPr>
        <w:t>s</w:t>
      </w:r>
      <w:r w:rsidRPr="0009148F">
        <w:rPr>
          <w:bCs/>
          <w:color w:val="000000" w:themeColor="text1"/>
        </w:rPr>
        <w:t xml:space="preserve"> decision may not be appealed. </w:t>
      </w:r>
      <w:r w:rsidR="00852477" w:rsidRPr="0009148F">
        <w:rPr>
          <w:bCs/>
          <w:color w:val="000000" w:themeColor="text1"/>
        </w:rPr>
        <w:t xml:space="preserve"> </w:t>
      </w:r>
    </w:p>
    <w:p w14:paraId="311A7561" w14:textId="4209BDD2" w:rsidR="00CF2B11" w:rsidRPr="0009148F" w:rsidRDefault="00CF2B11" w:rsidP="00CF2B11">
      <w:pPr>
        <w:rPr>
          <w:bCs/>
          <w:color w:val="000000" w:themeColor="text1"/>
        </w:rPr>
      </w:pPr>
    </w:p>
    <w:p w14:paraId="4F81AFDD" w14:textId="77777777" w:rsidR="00B451DA" w:rsidRPr="0009148F" w:rsidRDefault="00B451DA" w:rsidP="003F0C6D">
      <w:pPr>
        <w:rPr>
          <w:b/>
          <w:bCs/>
          <w:color w:val="000000" w:themeColor="text1"/>
        </w:rPr>
      </w:pPr>
    </w:p>
    <w:p w14:paraId="0835AC56" w14:textId="0E211E8F" w:rsidR="00B451DA" w:rsidRPr="0009148F" w:rsidRDefault="00B451DA" w:rsidP="003F0C6D">
      <w:pPr>
        <w:rPr>
          <w:b/>
          <w:bCs/>
          <w:color w:val="000000" w:themeColor="text1"/>
        </w:rPr>
      </w:pPr>
      <w:r w:rsidRPr="0009148F">
        <w:rPr>
          <w:b/>
          <w:bCs/>
          <w:color w:val="000000" w:themeColor="text1"/>
          <w:sz w:val="36"/>
          <w:szCs w:val="36"/>
        </w:rPr>
        <w:t>2. Instructor Information</w:t>
      </w:r>
    </w:p>
    <w:p w14:paraId="5F15E187" w14:textId="09849D25" w:rsidR="00CF2B11" w:rsidRPr="0009148F" w:rsidRDefault="00CF2B11" w:rsidP="003F0C6D">
      <w:pPr>
        <w:rPr>
          <w:bCs/>
          <w:color w:val="000000" w:themeColor="text1"/>
        </w:rPr>
      </w:pPr>
    </w:p>
    <w:p w14:paraId="6579E955" w14:textId="673221A3" w:rsidR="003F0C6D" w:rsidRPr="0009148F" w:rsidRDefault="003F0C6D" w:rsidP="003F0C6D">
      <w:pPr>
        <w:rPr>
          <w:bCs/>
          <w:color w:val="000000" w:themeColor="text1"/>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09148F" w:rsidRPr="0009148F" w14:paraId="2A60D15D" w14:textId="77777777" w:rsidTr="009F1F74">
        <w:trPr>
          <w:trHeight w:val="315"/>
        </w:trPr>
        <w:tc>
          <w:tcPr>
            <w:tcW w:w="3307" w:type="dxa"/>
            <w:noWrap/>
            <w:vAlign w:val="center"/>
            <w:hideMark/>
          </w:tcPr>
          <w:p w14:paraId="7D2C84A9"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Instructors</w:t>
            </w:r>
          </w:p>
        </w:tc>
        <w:tc>
          <w:tcPr>
            <w:tcW w:w="2250" w:type="dxa"/>
            <w:noWrap/>
            <w:vAlign w:val="center"/>
            <w:hideMark/>
          </w:tcPr>
          <w:p w14:paraId="2FEA44D3"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Email</w:t>
            </w:r>
          </w:p>
        </w:tc>
        <w:tc>
          <w:tcPr>
            <w:tcW w:w="1530" w:type="dxa"/>
            <w:noWrap/>
            <w:vAlign w:val="center"/>
            <w:hideMark/>
          </w:tcPr>
          <w:p w14:paraId="495F2F30"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Office</w:t>
            </w:r>
          </w:p>
        </w:tc>
        <w:tc>
          <w:tcPr>
            <w:tcW w:w="1530" w:type="dxa"/>
            <w:vAlign w:val="center"/>
            <w:hideMark/>
          </w:tcPr>
          <w:p w14:paraId="63A22ACA"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Phone</w:t>
            </w:r>
          </w:p>
        </w:tc>
        <w:tc>
          <w:tcPr>
            <w:tcW w:w="1530" w:type="dxa"/>
            <w:noWrap/>
            <w:vAlign w:val="center"/>
            <w:hideMark/>
          </w:tcPr>
          <w:p w14:paraId="5F5065DE"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Office Hours</w:t>
            </w:r>
          </w:p>
        </w:tc>
      </w:tr>
      <w:tr w:rsidR="0009148F" w:rsidRPr="0009148F" w14:paraId="4BF0A8BD" w14:textId="77777777" w:rsidTr="009F1F74">
        <w:trPr>
          <w:trHeight w:val="315"/>
        </w:trPr>
        <w:tc>
          <w:tcPr>
            <w:tcW w:w="3307" w:type="dxa"/>
            <w:noWrap/>
            <w:vAlign w:val="bottom"/>
            <w:hideMark/>
          </w:tcPr>
          <w:p w14:paraId="192A164A" w14:textId="45276C4D" w:rsidR="00597639" w:rsidRPr="0009148F" w:rsidRDefault="00597639">
            <w:pPr>
              <w:rPr>
                <w:rFonts w:cstheme="minorHAnsi"/>
                <w:color w:val="000000" w:themeColor="text1"/>
                <w:lang w:eastAsia="en-CA"/>
              </w:rPr>
            </w:pPr>
            <w:r w:rsidRPr="0009148F">
              <w:rPr>
                <w:rFonts w:cstheme="minorHAnsi"/>
                <w:color w:val="000000" w:themeColor="text1"/>
                <w:lang w:eastAsia="en-CA"/>
              </w:rPr>
              <w:t xml:space="preserve">Dr. </w:t>
            </w:r>
            <w:r w:rsidR="0009148F" w:rsidRPr="0009148F">
              <w:rPr>
                <w:rFonts w:cstheme="minorHAnsi"/>
                <w:color w:val="000000" w:themeColor="text1"/>
                <w:lang w:eastAsia="en-CA"/>
              </w:rPr>
              <w:t>Tatyana Barron</w:t>
            </w:r>
          </w:p>
        </w:tc>
        <w:tc>
          <w:tcPr>
            <w:tcW w:w="2250" w:type="dxa"/>
            <w:noWrap/>
            <w:vAlign w:val="bottom"/>
            <w:hideMark/>
          </w:tcPr>
          <w:p w14:paraId="7EA5C61B" w14:textId="2DA4350F" w:rsidR="00597639" w:rsidRPr="0009148F" w:rsidRDefault="0009148F">
            <w:pPr>
              <w:rPr>
                <w:rFonts w:cstheme="minorHAnsi"/>
                <w:color w:val="000000" w:themeColor="text1"/>
                <w:lang w:eastAsia="en-CA"/>
              </w:rPr>
            </w:pPr>
            <w:r>
              <w:rPr>
                <w:rFonts w:cstheme="minorHAnsi"/>
                <w:color w:val="000000" w:themeColor="text1"/>
                <w:lang w:eastAsia="en-CA"/>
              </w:rPr>
              <w:t>Tatyana.barron@uwo.ca</w:t>
            </w:r>
          </w:p>
        </w:tc>
        <w:tc>
          <w:tcPr>
            <w:tcW w:w="1530" w:type="dxa"/>
            <w:noWrap/>
            <w:vAlign w:val="bottom"/>
            <w:hideMark/>
          </w:tcPr>
          <w:p w14:paraId="38AE06F9" w14:textId="77777777" w:rsidR="00597639" w:rsidRPr="0009148F" w:rsidRDefault="00597639">
            <w:pPr>
              <w:rPr>
                <w:rFonts w:cstheme="minorHAnsi"/>
                <w:color w:val="000000" w:themeColor="text1"/>
                <w:lang w:eastAsia="en-CA"/>
              </w:rPr>
            </w:pPr>
          </w:p>
        </w:tc>
        <w:tc>
          <w:tcPr>
            <w:tcW w:w="1530" w:type="dxa"/>
            <w:hideMark/>
          </w:tcPr>
          <w:p w14:paraId="074E6064" w14:textId="77777777" w:rsidR="00597639" w:rsidRPr="0009148F" w:rsidRDefault="00597639">
            <w:pPr>
              <w:rPr>
                <w:rFonts w:cstheme="minorHAnsi"/>
                <w:color w:val="000000" w:themeColor="text1"/>
                <w:lang w:eastAsia="en-CA"/>
              </w:rPr>
            </w:pPr>
          </w:p>
        </w:tc>
        <w:tc>
          <w:tcPr>
            <w:tcW w:w="1530" w:type="dxa"/>
            <w:noWrap/>
            <w:vAlign w:val="bottom"/>
            <w:hideMark/>
          </w:tcPr>
          <w:p w14:paraId="64D49F50" w14:textId="77777777" w:rsidR="00597639" w:rsidRPr="0009148F" w:rsidRDefault="00597639">
            <w:pPr>
              <w:rPr>
                <w:rFonts w:cstheme="minorHAnsi"/>
                <w:color w:val="000000" w:themeColor="text1"/>
                <w:lang w:eastAsia="en-CA"/>
              </w:rPr>
            </w:pPr>
          </w:p>
        </w:tc>
      </w:tr>
      <w:tr w:rsidR="0009148F" w:rsidRPr="0009148F" w14:paraId="54CAD521" w14:textId="77777777" w:rsidTr="009F1F74">
        <w:trPr>
          <w:trHeight w:val="315"/>
        </w:trPr>
        <w:tc>
          <w:tcPr>
            <w:tcW w:w="3307" w:type="dxa"/>
            <w:noWrap/>
            <w:vAlign w:val="bottom"/>
            <w:hideMark/>
          </w:tcPr>
          <w:p w14:paraId="6A862AFB" w14:textId="292E6FF3" w:rsidR="00597639" w:rsidRPr="0009148F" w:rsidRDefault="0009148F">
            <w:pPr>
              <w:rPr>
                <w:rFonts w:cstheme="minorHAnsi"/>
                <w:color w:val="000000" w:themeColor="text1"/>
                <w:lang w:eastAsia="en-CA"/>
              </w:rPr>
            </w:pPr>
            <w:r w:rsidRPr="0009148F">
              <w:rPr>
                <w:rFonts w:cstheme="minorHAnsi"/>
                <w:color w:val="000000" w:themeColor="text1"/>
                <w:lang w:eastAsia="en-CA"/>
              </w:rPr>
              <w:t>TA: to be determined</w:t>
            </w:r>
          </w:p>
          <w:p w14:paraId="382BD499" w14:textId="77777777" w:rsidR="00597639" w:rsidRPr="0009148F" w:rsidRDefault="00597639">
            <w:pPr>
              <w:rPr>
                <w:rFonts w:cstheme="minorHAnsi"/>
                <w:color w:val="000000" w:themeColor="text1"/>
                <w:lang w:eastAsia="en-CA"/>
              </w:rPr>
            </w:pPr>
          </w:p>
        </w:tc>
        <w:tc>
          <w:tcPr>
            <w:tcW w:w="2250" w:type="dxa"/>
            <w:noWrap/>
            <w:vAlign w:val="bottom"/>
            <w:hideMark/>
          </w:tcPr>
          <w:p w14:paraId="0487BD43" w14:textId="77777777" w:rsidR="00597639" w:rsidRPr="0009148F" w:rsidRDefault="00597639">
            <w:pPr>
              <w:rPr>
                <w:rFonts w:cstheme="minorHAnsi"/>
                <w:color w:val="000000" w:themeColor="text1"/>
                <w:lang w:eastAsia="en-CA"/>
              </w:rPr>
            </w:pPr>
          </w:p>
        </w:tc>
        <w:tc>
          <w:tcPr>
            <w:tcW w:w="1530" w:type="dxa"/>
            <w:noWrap/>
            <w:vAlign w:val="bottom"/>
            <w:hideMark/>
          </w:tcPr>
          <w:p w14:paraId="66747859" w14:textId="77777777" w:rsidR="00597639" w:rsidRPr="0009148F" w:rsidRDefault="00597639">
            <w:pPr>
              <w:rPr>
                <w:rFonts w:cstheme="minorHAnsi"/>
                <w:color w:val="000000" w:themeColor="text1"/>
                <w:lang w:eastAsia="en-CA"/>
              </w:rPr>
            </w:pPr>
          </w:p>
        </w:tc>
        <w:tc>
          <w:tcPr>
            <w:tcW w:w="1530" w:type="dxa"/>
            <w:hideMark/>
          </w:tcPr>
          <w:p w14:paraId="1D39D356" w14:textId="77777777" w:rsidR="00597639" w:rsidRPr="0009148F" w:rsidRDefault="00597639">
            <w:pPr>
              <w:rPr>
                <w:rFonts w:cstheme="minorHAnsi"/>
                <w:color w:val="000000" w:themeColor="text1"/>
                <w:lang w:eastAsia="en-CA"/>
              </w:rPr>
            </w:pPr>
          </w:p>
        </w:tc>
        <w:tc>
          <w:tcPr>
            <w:tcW w:w="1530" w:type="dxa"/>
            <w:noWrap/>
            <w:vAlign w:val="bottom"/>
            <w:hideMark/>
          </w:tcPr>
          <w:p w14:paraId="4E6D5E63" w14:textId="77777777" w:rsidR="00597639" w:rsidRPr="0009148F" w:rsidRDefault="00597639">
            <w:pPr>
              <w:rPr>
                <w:rFonts w:cstheme="minorHAnsi"/>
                <w:color w:val="000000" w:themeColor="text1"/>
                <w:lang w:eastAsia="en-CA"/>
              </w:rPr>
            </w:pPr>
          </w:p>
        </w:tc>
      </w:tr>
      <w:tr w:rsidR="0009148F" w:rsidRPr="0009148F" w14:paraId="1ABF0845" w14:textId="77777777" w:rsidTr="009F1F74">
        <w:trPr>
          <w:trHeight w:val="315"/>
        </w:trPr>
        <w:tc>
          <w:tcPr>
            <w:tcW w:w="3307" w:type="dxa"/>
            <w:noWrap/>
            <w:vAlign w:val="bottom"/>
          </w:tcPr>
          <w:p w14:paraId="29A487F9" w14:textId="3818A6DC" w:rsidR="00597639" w:rsidRPr="0009148F" w:rsidRDefault="00597639">
            <w:pPr>
              <w:rPr>
                <w:rFonts w:cstheme="minorHAnsi"/>
                <w:color w:val="000000" w:themeColor="text1"/>
                <w:lang w:eastAsia="en-CA"/>
              </w:rPr>
            </w:pPr>
          </w:p>
        </w:tc>
        <w:tc>
          <w:tcPr>
            <w:tcW w:w="2250" w:type="dxa"/>
            <w:noWrap/>
            <w:vAlign w:val="bottom"/>
          </w:tcPr>
          <w:p w14:paraId="28013500" w14:textId="77777777" w:rsidR="00597639" w:rsidRPr="0009148F" w:rsidRDefault="00597639">
            <w:pPr>
              <w:rPr>
                <w:rFonts w:cstheme="minorHAnsi"/>
                <w:color w:val="000000" w:themeColor="text1"/>
                <w:lang w:eastAsia="en-CA"/>
              </w:rPr>
            </w:pPr>
          </w:p>
        </w:tc>
        <w:tc>
          <w:tcPr>
            <w:tcW w:w="1530" w:type="dxa"/>
            <w:noWrap/>
            <w:vAlign w:val="bottom"/>
          </w:tcPr>
          <w:p w14:paraId="515AF6CC" w14:textId="77777777" w:rsidR="00597639" w:rsidRPr="0009148F" w:rsidRDefault="00597639">
            <w:pPr>
              <w:rPr>
                <w:rFonts w:cstheme="minorHAnsi"/>
                <w:color w:val="000000" w:themeColor="text1"/>
                <w:lang w:eastAsia="en-CA"/>
              </w:rPr>
            </w:pPr>
          </w:p>
        </w:tc>
        <w:tc>
          <w:tcPr>
            <w:tcW w:w="1530" w:type="dxa"/>
          </w:tcPr>
          <w:p w14:paraId="29BAD9FC" w14:textId="77777777" w:rsidR="00597639" w:rsidRPr="0009148F" w:rsidRDefault="00597639">
            <w:pPr>
              <w:rPr>
                <w:rFonts w:cstheme="minorHAnsi"/>
                <w:color w:val="000000" w:themeColor="text1"/>
                <w:lang w:eastAsia="en-CA"/>
              </w:rPr>
            </w:pPr>
          </w:p>
        </w:tc>
        <w:tc>
          <w:tcPr>
            <w:tcW w:w="1530" w:type="dxa"/>
            <w:noWrap/>
            <w:vAlign w:val="bottom"/>
          </w:tcPr>
          <w:p w14:paraId="00496547" w14:textId="77777777" w:rsidR="00597639" w:rsidRPr="0009148F" w:rsidRDefault="00597639">
            <w:pPr>
              <w:rPr>
                <w:rFonts w:cstheme="minorHAnsi"/>
                <w:color w:val="000000" w:themeColor="text1"/>
                <w:lang w:eastAsia="en-CA"/>
              </w:rPr>
            </w:pPr>
          </w:p>
        </w:tc>
      </w:tr>
    </w:tbl>
    <w:p w14:paraId="0941487A" w14:textId="28863721" w:rsidR="00597639" w:rsidRPr="0009148F" w:rsidRDefault="00597639" w:rsidP="003F0C6D">
      <w:pPr>
        <w:rPr>
          <w:bCs/>
          <w:color w:val="000000" w:themeColor="text1"/>
        </w:rPr>
      </w:pPr>
    </w:p>
    <w:p w14:paraId="10F9544C" w14:textId="21A9C369" w:rsidR="003F0C6D" w:rsidRPr="0009148F" w:rsidRDefault="003F0C6D" w:rsidP="003F0C6D">
      <w:pPr>
        <w:rPr>
          <w:bCs/>
          <w:color w:val="000000" w:themeColor="text1"/>
        </w:rPr>
      </w:pPr>
      <w:r w:rsidRPr="0009148F">
        <w:rPr>
          <w:bCs/>
          <w:color w:val="000000" w:themeColor="text1"/>
        </w:rPr>
        <w:t xml:space="preserve">Students must use their Western (@uwo.ca) email addresses when contacting their instructors. </w:t>
      </w:r>
      <w:r w:rsidR="00845B86" w:rsidRPr="0009148F">
        <w:rPr>
          <w:bCs/>
          <w:color w:val="000000" w:themeColor="text1"/>
        </w:rPr>
        <w:t xml:space="preserve"> </w:t>
      </w:r>
    </w:p>
    <w:p w14:paraId="4823A919" w14:textId="77777777" w:rsidR="003F0C6D" w:rsidRPr="0009148F" w:rsidRDefault="003F0C6D" w:rsidP="003F0C6D">
      <w:pPr>
        <w:rPr>
          <w:bCs/>
          <w:color w:val="000000" w:themeColor="text1"/>
        </w:rPr>
      </w:pPr>
    </w:p>
    <w:p w14:paraId="7421E8B3" w14:textId="1BCC472E" w:rsidR="00845B86" w:rsidRPr="0009148F" w:rsidRDefault="0009148F" w:rsidP="003F0C6D">
      <w:pPr>
        <w:rPr>
          <w:bCs/>
          <w:color w:val="000000" w:themeColor="text1"/>
        </w:rPr>
      </w:pPr>
      <w:r w:rsidRPr="0009148F">
        <w:rPr>
          <w:bCs/>
          <w:color w:val="000000" w:themeColor="text1"/>
        </w:rPr>
        <w:t>O</w:t>
      </w:r>
      <w:r w:rsidR="00C22C65" w:rsidRPr="0009148F">
        <w:rPr>
          <w:bCs/>
          <w:color w:val="000000" w:themeColor="text1"/>
        </w:rPr>
        <w:t>ffice hours</w:t>
      </w:r>
      <w:r w:rsidRPr="0009148F">
        <w:rPr>
          <w:bCs/>
          <w:color w:val="000000" w:themeColor="text1"/>
        </w:rPr>
        <w:t xml:space="preserve">: </w:t>
      </w:r>
      <w:r w:rsidR="008A2AAA" w:rsidRPr="0009148F">
        <w:rPr>
          <w:bCs/>
          <w:color w:val="000000" w:themeColor="text1"/>
        </w:rPr>
        <w:t xml:space="preserve">in-person, </w:t>
      </w:r>
      <w:r w:rsidRPr="0009148F">
        <w:rPr>
          <w:bCs/>
          <w:color w:val="000000" w:themeColor="text1"/>
        </w:rPr>
        <w:t xml:space="preserve">see the Brightspace site. </w:t>
      </w:r>
    </w:p>
    <w:p w14:paraId="2C2C2FE5" w14:textId="77777777" w:rsidR="00326122" w:rsidRPr="00A84D9F" w:rsidRDefault="00326122" w:rsidP="003F0C6D">
      <w:pPr>
        <w:rPr>
          <w:bCs/>
          <w:color w:val="385623" w:themeColor="accent6" w:themeShade="80"/>
        </w:rPr>
      </w:pPr>
    </w:p>
    <w:p w14:paraId="0AB3BB96" w14:textId="77777777" w:rsidR="001D554E" w:rsidRDefault="001D554E" w:rsidP="00845B86">
      <w:pPr>
        <w:rPr>
          <w:b/>
          <w:bCs/>
          <w:sz w:val="36"/>
          <w:szCs w:val="36"/>
        </w:rPr>
      </w:pPr>
    </w:p>
    <w:p w14:paraId="1A82FC96" w14:textId="77777777" w:rsidR="006E2716" w:rsidRDefault="006E2716">
      <w:pPr>
        <w:rPr>
          <w:b/>
          <w:bCs/>
          <w:sz w:val="36"/>
          <w:szCs w:val="36"/>
        </w:rPr>
      </w:pPr>
      <w:r>
        <w:rPr>
          <w:b/>
          <w:bCs/>
          <w:sz w:val="36"/>
          <w:szCs w:val="36"/>
        </w:rPr>
        <w:br w:type="page"/>
      </w:r>
    </w:p>
    <w:p w14:paraId="02218B5F" w14:textId="559D9C53" w:rsidR="00B451DA" w:rsidRDefault="00B451DA" w:rsidP="00845B86">
      <w:pPr>
        <w:rPr>
          <w:b/>
          <w:bCs/>
        </w:rPr>
      </w:pPr>
      <w:r w:rsidRPr="008C038D">
        <w:rPr>
          <w:b/>
          <w:bCs/>
          <w:sz w:val="36"/>
          <w:szCs w:val="36"/>
        </w:rPr>
        <w:lastRenderedPageBreak/>
        <w:t xml:space="preserve">3. Course </w:t>
      </w:r>
      <w:r>
        <w:rPr>
          <w:b/>
          <w:bCs/>
          <w:sz w:val="36"/>
          <w:szCs w:val="36"/>
        </w:rPr>
        <w:t>Syllabus, Schedule, Delivery Mode</w:t>
      </w:r>
    </w:p>
    <w:p w14:paraId="25E10F1B" w14:textId="77777777" w:rsidR="006B208E" w:rsidRPr="008A6FE9" w:rsidRDefault="00CF2B11" w:rsidP="00845B86">
      <w:pPr>
        <w:rPr>
          <w:bCs/>
          <w:color w:val="000000" w:themeColor="text1"/>
        </w:rPr>
      </w:pPr>
      <w:r w:rsidRPr="00845B86">
        <w:rPr>
          <w:b/>
          <w:bCs/>
        </w:rPr>
        <w:br/>
      </w:r>
      <w:r w:rsidR="00845B86" w:rsidRPr="008A6FE9">
        <w:rPr>
          <w:bCs/>
          <w:color w:val="000000" w:themeColor="text1"/>
        </w:rPr>
        <w:t>The course description published</w:t>
      </w:r>
      <w:r w:rsidR="000A1F30" w:rsidRPr="008A6FE9">
        <w:rPr>
          <w:bCs/>
          <w:color w:val="000000" w:themeColor="text1"/>
        </w:rPr>
        <w:t xml:space="preserve"> in the</w:t>
      </w:r>
      <w:r w:rsidR="00845B86" w:rsidRPr="008A6FE9">
        <w:rPr>
          <w:bCs/>
          <w:color w:val="000000" w:themeColor="text1"/>
        </w:rPr>
        <w:t xml:space="preserve"> Western Academic Calendar</w:t>
      </w:r>
      <w:r w:rsidR="006B208E" w:rsidRPr="008A6FE9">
        <w:rPr>
          <w:bCs/>
          <w:color w:val="000000" w:themeColor="text1"/>
        </w:rPr>
        <w:t>:</w:t>
      </w:r>
    </w:p>
    <w:p w14:paraId="07DDF7B0" w14:textId="77777777" w:rsidR="006B208E" w:rsidRPr="008A6FE9" w:rsidRDefault="006B208E" w:rsidP="00845B86">
      <w:pPr>
        <w:rPr>
          <w:bCs/>
          <w:color w:val="000000" w:themeColor="text1"/>
        </w:rPr>
      </w:pPr>
    </w:p>
    <w:p w14:paraId="53E908F2" w14:textId="0BE61341" w:rsidR="00845B86" w:rsidRPr="008A6FE9" w:rsidRDefault="006B208E" w:rsidP="00845B86">
      <w:pPr>
        <w:rPr>
          <w:bCs/>
          <w:color w:val="000000" w:themeColor="text1"/>
        </w:rPr>
      </w:pPr>
      <w:r w:rsidRPr="008A6FE9">
        <w:rPr>
          <w:color w:val="000000" w:themeColor="text1"/>
          <w:sz w:val="21"/>
          <w:szCs w:val="21"/>
          <w:shd w:val="clear" w:color="auto" w:fill="FFFFFF"/>
        </w:rPr>
        <w:t>Differentiation, the Mean Value Theorem, and integration. Metric spaces, including topology, convergence, compactness, completeness, and connectedness. Uniform convergence of functions. Selected additional topics.</w:t>
      </w:r>
      <w:r w:rsidR="00845B86" w:rsidRPr="008A6FE9">
        <w:rPr>
          <w:bCs/>
          <w:color w:val="000000" w:themeColor="text1"/>
        </w:rPr>
        <w:t xml:space="preserve"> </w:t>
      </w:r>
      <w:r w:rsidR="00CF2B11" w:rsidRPr="008A6FE9">
        <w:rPr>
          <w:bCs/>
          <w:color w:val="000000" w:themeColor="text1"/>
        </w:rPr>
        <w:t xml:space="preserve"> </w:t>
      </w:r>
    </w:p>
    <w:p w14:paraId="47D558F3" w14:textId="77777777" w:rsidR="00C22C65" w:rsidRPr="008A6FE9" w:rsidRDefault="00C22C65" w:rsidP="00845B86">
      <w:pPr>
        <w:rPr>
          <w:bCs/>
          <w:color w:val="000000" w:themeColor="text1"/>
        </w:rPr>
      </w:pPr>
    </w:p>
    <w:p w14:paraId="75B73BA5" w14:textId="56741F24" w:rsidR="00C22C65" w:rsidRPr="008A6FE9" w:rsidRDefault="004A36A7" w:rsidP="00C22C65">
      <w:pPr>
        <w:rPr>
          <w:bCs/>
          <w:color w:val="000000" w:themeColor="text1"/>
        </w:rPr>
      </w:pPr>
      <w:r w:rsidRPr="008A6FE9">
        <w:rPr>
          <w:bCs/>
          <w:color w:val="000000" w:themeColor="text1"/>
        </w:rPr>
        <w:t>The</w:t>
      </w:r>
      <w:r w:rsidR="00C22C65" w:rsidRPr="008A6FE9">
        <w:rPr>
          <w:bCs/>
          <w:color w:val="000000" w:themeColor="text1"/>
        </w:rPr>
        <w:t xml:space="preserve"> course-level learning outcomes</w:t>
      </w:r>
      <w:r w:rsidRPr="008A6FE9">
        <w:rPr>
          <w:bCs/>
          <w:color w:val="000000" w:themeColor="text1"/>
        </w:rPr>
        <w:t>:</w:t>
      </w:r>
    </w:p>
    <w:p w14:paraId="58C54396" w14:textId="77777777" w:rsidR="008A6FE9" w:rsidRPr="008A6FE9" w:rsidRDefault="008A6FE9" w:rsidP="00C22C65">
      <w:pPr>
        <w:rPr>
          <w:bCs/>
          <w:color w:val="000000" w:themeColor="text1"/>
        </w:rPr>
      </w:pPr>
    </w:p>
    <w:p w14:paraId="098B3579" w14:textId="77777777" w:rsidR="008A6FE9" w:rsidRPr="008A6FE9" w:rsidRDefault="008A6FE9" w:rsidP="008A6FE9">
      <w:pPr>
        <w:rPr>
          <w:bCs/>
          <w:color w:val="000000" w:themeColor="text1"/>
        </w:rPr>
      </w:pPr>
      <w:r w:rsidRPr="008A6FE9">
        <w:rPr>
          <w:bCs/>
          <w:color w:val="000000" w:themeColor="text1"/>
        </w:rPr>
        <w:t>On successful completion of this course, students will be able to:</w:t>
      </w:r>
    </w:p>
    <w:p w14:paraId="3C8F1276" w14:textId="77777777" w:rsidR="008A6FE9" w:rsidRPr="008A6FE9" w:rsidRDefault="008A6FE9" w:rsidP="008A6FE9">
      <w:pPr>
        <w:rPr>
          <w:bCs/>
          <w:color w:val="000000" w:themeColor="text1"/>
        </w:rPr>
      </w:pPr>
    </w:p>
    <w:p w14:paraId="57C418D9" w14:textId="77777777" w:rsidR="008A6FE9" w:rsidRPr="008A6FE9" w:rsidRDefault="008A6FE9" w:rsidP="008A6FE9">
      <w:pPr>
        <w:rPr>
          <w:bCs/>
          <w:color w:val="000000" w:themeColor="text1"/>
        </w:rPr>
      </w:pPr>
      <w:r w:rsidRPr="008A6FE9">
        <w:rPr>
          <w:bCs/>
          <w:color w:val="000000" w:themeColor="text1"/>
        </w:rPr>
        <w:t xml:space="preserve">demonstrate skills in constructing mathematical proofs; </w:t>
      </w:r>
    </w:p>
    <w:p w14:paraId="18FA30D3" w14:textId="77777777" w:rsidR="008A6FE9" w:rsidRPr="008A6FE9" w:rsidRDefault="008A6FE9" w:rsidP="008A6FE9">
      <w:pPr>
        <w:rPr>
          <w:bCs/>
          <w:color w:val="000000" w:themeColor="text1"/>
        </w:rPr>
      </w:pPr>
    </w:p>
    <w:p w14:paraId="512FC905" w14:textId="77777777" w:rsidR="008A6FE9" w:rsidRPr="008A6FE9" w:rsidRDefault="008A6FE9" w:rsidP="008A6FE9">
      <w:pPr>
        <w:rPr>
          <w:bCs/>
          <w:color w:val="000000" w:themeColor="text1"/>
        </w:rPr>
      </w:pPr>
      <w:r w:rsidRPr="008A6FE9">
        <w:rPr>
          <w:bCs/>
          <w:color w:val="000000" w:themeColor="text1"/>
        </w:rPr>
        <w:t xml:space="preserve">recall and apply theorems about differentiation and integration of functions; </w:t>
      </w:r>
    </w:p>
    <w:p w14:paraId="313FB1C3" w14:textId="77777777" w:rsidR="008A6FE9" w:rsidRPr="008A6FE9" w:rsidRDefault="008A6FE9" w:rsidP="008A6FE9">
      <w:pPr>
        <w:rPr>
          <w:bCs/>
          <w:color w:val="000000" w:themeColor="text1"/>
        </w:rPr>
      </w:pPr>
    </w:p>
    <w:p w14:paraId="739363B9" w14:textId="77777777" w:rsidR="008A6FE9" w:rsidRPr="008A6FE9" w:rsidRDefault="008A6FE9" w:rsidP="008A6FE9">
      <w:pPr>
        <w:rPr>
          <w:bCs/>
          <w:color w:val="000000" w:themeColor="text1"/>
        </w:rPr>
      </w:pPr>
      <w:r w:rsidRPr="008A6FE9">
        <w:rPr>
          <w:bCs/>
          <w:color w:val="000000" w:themeColor="text1"/>
        </w:rPr>
        <w:t>use the basic concepts of analysis in metric spaces;</w:t>
      </w:r>
    </w:p>
    <w:p w14:paraId="7865A0E5" w14:textId="77777777" w:rsidR="008A6FE9" w:rsidRPr="008A6FE9" w:rsidRDefault="008A6FE9" w:rsidP="008A6FE9">
      <w:pPr>
        <w:rPr>
          <w:bCs/>
          <w:color w:val="000000" w:themeColor="text1"/>
        </w:rPr>
      </w:pPr>
    </w:p>
    <w:p w14:paraId="0A0A132C" w14:textId="6DDA7896" w:rsidR="008A6FE9" w:rsidRPr="008A6FE9" w:rsidRDefault="008A6FE9" w:rsidP="008A6FE9">
      <w:pPr>
        <w:rPr>
          <w:bCs/>
          <w:color w:val="000000" w:themeColor="text1"/>
        </w:rPr>
      </w:pPr>
      <w:r w:rsidRPr="008A6FE9">
        <w:rPr>
          <w:bCs/>
          <w:color w:val="000000" w:themeColor="text1"/>
        </w:rPr>
        <w:t>identify uniformly convergent sequences.</w:t>
      </w:r>
    </w:p>
    <w:p w14:paraId="0CB8C1B4" w14:textId="77777777" w:rsidR="00C22C65" w:rsidRPr="008A6FE9" w:rsidRDefault="00C22C65" w:rsidP="00C22C65">
      <w:pPr>
        <w:rPr>
          <w:bCs/>
          <w:color w:val="000000" w:themeColor="text1"/>
        </w:rPr>
      </w:pPr>
    </w:p>
    <w:p w14:paraId="5CC249F8" w14:textId="30F0CBC5" w:rsidR="00DC3806" w:rsidRPr="008A6FE9" w:rsidRDefault="00DC3806" w:rsidP="004C3FE9">
      <w:pPr>
        <w:rPr>
          <w:bCs/>
          <w:color w:val="000000" w:themeColor="text1"/>
        </w:rPr>
      </w:pPr>
      <w:r w:rsidRPr="008A6FE9">
        <w:rPr>
          <w:bCs/>
          <w:color w:val="000000" w:themeColor="text1"/>
        </w:rPr>
        <w:t>T</w:t>
      </w:r>
      <w:r w:rsidR="004C3FE9" w:rsidRPr="008A6FE9">
        <w:rPr>
          <w:bCs/>
          <w:color w:val="000000" w:themeColor="text1"/>
        </w:rPr>
        <w:t>he</w:t>
      </w:r>
      <w:r w:rsidR="00C22C65" w:rsidRPr="008A6FE9">
        <w:rPr>
          <w:bCs/>
          <w:color w:val="000000" w:themeColor="text1"/>
        </w:rPr>
        <w:t xml:space="preserve"> lecture/tutorial schedule</w:t>
      </w:r>
      <w:r w:rsidRPr="008A6FE9">
        <w:rPr>
          <w:bCs/>
          <w:color w:val="000000" w:themeColor="text1"/>
        </w:rPr>
        <w:t>/</w:t>
      </w:r>
      <w:r w:rsidR="00C22C65" w:rsidRPr="008A6FE9">
        <w:rPr>
          <w:bCs/>
          <w:color w:val="000000" w:themeColor="text1"/>
        </w:rPr>
        <w:t>weekly meeting</w:t>
      </w:r>
      <w:r w:rsidRPr="008A6FE9">
        <w:rPr>
          <w:bCs/>
          <w:color w:val="000000" w:themeColor="text1"/>
        </w:rPr>
        <w:t xml:space="preserve"> times:</w:t>
      </w:r>
    </w:p>
    <w:p w14:paraId="28C75640" w14:textId="77777777" w:rsidR="00DC3806" w:rsidRPr="008A6FE9" w:rsidRDefault="00DC3806" w:rsidP="004C3FE9">
      <w:pPr>
        <w:rPr>
          <w:bCs/>
          <w:color w:val="000000" w:themeColor="text1"/>
        </w:rPr>
      </w:pPr>
    </w:p>
    <w:p w14:paraId="1080ADC5" w14:textId="0F069D43" w:rsidR="00C70D02" w:rsidRPr="008A6FE9" w:rsidRDefault="00DC3806" w:rsidP="004C3FE9">
      <w:pPr>
        <w:rPr>
          <w:bCs/>
          <w:color w:val="000000" w:themeColor="text1"/>
        </w:rPr>
      </w:pPr>
      <w:r w:rsidRPr="008A6FE9">
        <w:rPr>
          <w:bCs/>
          <w:color w:val="000000" w:themeColor="text1"/>
        </w:rPr>
        <w:t>D</w:t>
      </w:r>
      <w:r w:rsidR="00C22C65" w:rsidRPr="008A6FE9">
        <w:rPr>
          <w:bCs/>
          <w:color w:val="000000" w:themeColor="text1"/>
        </w:rPr>
        <w:t>elivery mo</w:t>
      </w:r>
      <w:r w:rsidR="00014FF4" w:rsidRPr="008A6FE9">
        <w:rPr>
          <w:bCs/>
          <w:color w:val="000000" w:themeColor="text1"/>
        </w:rPr>
        <w:t>de</w:t>
      </w:r>
      <w:r w:rsidRPr="008A6FE9">
        <w:rPr>
          <w:bCs/>
          <w:color w:val="000000" w:themeColor="text1"/>
        </w:rPr>
        <w:t xml:space="preserve">: in person. </w:t>
      </w:r>
    </w:p>
    <w:p w14:paraId="25A0FA19" w14:textId="77777777" w:rsidR="00B96E71" w:rsidRPr="008A6FE9" w:rsidRDefault="00B96E71" w:rsidP="00845B86">
      <w:pPr>
        <w:rPr>
          <w:bCs/>
          <w:color w:val="000000" w:themeColor="text1"/>
        </w:rPr>
      </w:pPr>
    </w:p>
    <w:p w14:paraId="443A91E2" w14:textId="33D09A7A" w:rsidR="00C70D02" w:rsidRPr="008A6FE9" w:rsidRDefault="004A36A7" w:rsidP="00845B86">
      <w:pPr>
        <w:rPr>
          <w:bCs/>
          <w:color w:val="000000" w:themeColor="text1"/>
        </w:rPr>
      </w:pPr>
      <w:r w:rsidRPr="008A6FE9">
        <w:rPr>
          <w:bCs/>
          <w:color w:val="000000" w:themeColor="text1"/>
        </w:rPr>
        <w:t>T</w:t>
      </w:r>
      <w:r w:rsidR="00C70D02" w:rsidRPr="008A6FE9">
        <w:rPr>
          <w:bCs/>
          <w:color w:val="000000" w:themeColor="text1"/>
        </w:rPr>
        <w:t>he</w:t>
      </w:r>
      <w:r w:rsidR="004C3FE9" w:rsidRPr="008A6FE9">
        <w:rPr>
          <w:bCs/>
          <w:color w:val="000000" w:themeColor="text1"/>
        </w:rPr>
        <w:t xml:space="preserve"> relevant</w:t>
      </w:r>
      <w:r w:rsidR="00C70D02" w:rsidRPr="008A6FE9">
        <w:rPr>
          <w:bCs/>
          <w:color w:val="000000" w:themeColor="text1"/>
        </w:rPr>
        <w:t xml:space="preserve"> Key Sessional Dates:</w:t>
      </w:r>
    </w:p>
    <w:p w14:paraId="5B97A031" w14:textId="41EF478A" w:rsidR="00C70D02" w:rsidRPr="008A6FE9" w:rsidRDefault="00C70D02" w:rsidP="002B7D47">
      <w:pPr>
        <w:tabs>
          <w:tab w:val="left" w:pos="6204"/>
        </w:tabs>
        <w:ind w:left="284"/>
        <w:rPr>
          <w:bCs/>
          <w:color w:val="000000" w:themeColor="text1"/>
        </w:rPr>
      </w:pPr>
      <w:r w:rsidRPr="008A6FE9">
        <w:rPr>
          <w:bCs/>
          <w:color w:val="000000" w:themeColor="text1"/>
        </w:rPr>
        <w:t xml:space="preserve">Classes begin: September </w:t>
      </w:r>
      <w:r w:rsidR="002B7D47" w:rsidRPr="008A6FE9">
        <w:rPr>
          <w:bCs/>
          <w:color w:val="000000" w:themeColor="text1"/>
        </w:rPr>
        <w:t>4</w:t>
      </w:r>
      <w:r w:rsidR="00C62B7E" w:rsidRPr="008A6FE9">
        <w:rPr>
          <w:bCs/>
          <w:color w:val="000000" w:themeColor="text1"/>
        </w:rPr>
        <w:t>, 202</w:t>
      </w:r>
      <w:r w:rsidR="002B7D47" w:rsidRPr="008A6FE9">
        <w:rPr>
          <w:bCs/>
          <w:color w:val="000000" w:themeColor="text1"/>
        </w:rPr>
        <w:t>5</w:t>
      </w:r>
      <w:r w:rsidR="00C62B7E" w:rsidRPr="008A6FE9">
        <w:rPr>
          <w:bCs/>
          <w:color w:val="000000" w:themeColor="text1"/>
        </w:rPr>
        <w:t>;</w:t>
      </w:r>
      <w:r w:rsidRPr="008A6FE9">
        <w:rPr>
          <w:bCs/>
          <w:color w:val="000000" w:themeColor="text1"/>
        </w:rPr>
        <w:t xml:space="preserve"> </w:t>
      </w:r>
      <w:r w:rsidR="002B7D47" w:rsidRPr="008A6FE9">
        <w:rPr>
          <w:bCs/>
          <w:color w:val="000000" w:themeColor="text1"/>
        </w:rPr>
        <w:tab/>
      </w:r>
    </w:p>
    <w:p w14:paraId="0D5FBE6C" w14:textId="4E41D198" w:rsidR="00C70D02" w:rsidRPr="008A6FE9" w:rsidRDefault="00E925CE" w:rsidP="00F2758A">
      <w:pPr>
        <w:ind w:left="284"/>
        <w:rPr>
          <w:bCs/>
          <w:color w:val="000000" w:themeColor="text1"/>
        </w:rPr>
      </w:pPr>
      <w:r w:rsidRPr="008A6FE9">
        <w:rPr>
          <w:bCs/>
          <w:color w:val="000000" w:themeColor="text1"/>
        </w:rPr>
        <w:t xml:space="preserve">Fall </w:t>
      </w:r>
      <w:r w:rsidR="00C70D02" w:rsidRPr="008A6FE9">
        <w:rPr>
          <w:bCs/>
          <w:color w:val="000000" w:themeColor="text1"/>
        </w:rPr>
        <w:t xml:space="preserve">Reading Week: </w:t>
      </w:r>
      <w:r w:rsidR="002B7D47" w:rsidRPr="008A6FE9">
        <w:rPr>
          <w:bCs/>
          <w:color w:val="000000" w:themeColor="text1"/>
        </w:rPr>
        <w:t>November 3 – 9, 2025</w:t>
      </w:r>
      <w:r w:rsidR="00F2758A" w:rsidRPr="008A6FE9">
        <w:rPr>
          <w:bCs/>
          <w:color w:val="000000" w:themeColor="text1"/>
        </w:rPr>
        <w:t>;</w:t>
      </w:r>
      <w:r w:rsidR="00E541E0" w:rsidRPr="008A6FE9">
        <w:rPr>
          <w:bCs/>
          <w:color w:val="000000" w:themeColor="text1"/>
        </w:rPr>
        <w:t xml:space="preserve"> </w:t>
      </w:r>
    </w:p>
    <w:p w14:paraId="4F0EE24C" w14:textId="6F1D3239" w:rsidR="00C70D02" w:rsidRPr="008A6FE9" w:rsidRDefault="00C70D02" w:rsidP="00B96E71">
      <w:pPr>
        <w:ind w:left="284"/>
        <w:rPr>
          <w:bCs/>
          <w:color w:val="000000" w:themeColor="text1"/>
        </w:rPr>
      </w:pPr>
      <w:r w:rsidRPr="008A6FE9">
        <w:rPr>
          <w:bCs/>
          <w:color w:val="000000" w:themeColor="text1"/>
        </w:rPr>
        <w:t xml:space="preserve">Classes end: December </w:t>
      </w:r>
      <w:r w:rsidR="002B7D47" w:rsidRPr="008A6FE9">
        <w:rPr>
          <w:bCs/>
          <w:color w:val="000000" w:themeColor="text1"/>
        </w:rPr>
        <w:t>9</w:t>
      </w:r>
      <w:r w:rsidR="00C62B7E" w:rsidRPr="008A6FE9">
        <w:rPr>
          <w:bCs/>
          <w:color w:val="000000" w:themeColor="text1"/>
        </w:rPr>
        <w:t>, 202</w:t>
      </w:r>
      <w:r w:rsidR="002B7D47" w:rsidRPr="008A6FE9">
        <w:rPr>
          <w:bCs/>
          <w:color w:val="000000" w:themeColor="text1"/>
        </w:rPr>
        <w:t>5</w:t>
      </w:r>
      <w:r w:rsidR="00C62B7E" w:rsidRPr="008A6FE9">
        <w:rPr>
          <w:bCs/>
          <w:color w:val="000000" w:themeColor="text1"/>
        </w:rPr>
        <w:t>;</w:t>
      </w:r>
    </w:p>
    <w:p w14:paraId="7546B1CA" w14:textId="57BA22E0" w:rsidR="00E925CE" w:rsidRPr="008A6FE9" w:rsidRDefault="00E925CE" w:rsidP="00B96E71">
      <w:pPr>
        <w:ind w:left="284"/>
        <w:rPr>
          <w:bCs/>
          <w:color w:val="000000" w:themeColor="text1"/>
        </w:rPr>
      </w:pPr>
      <w:r w:rsidRPr="008A6FE9">
        <w:rPr>
          <w:bCs/>
          <w:color w:val="000000" w:themeColor="text1"/>
        </w:rPr>
        <w:t xml:space="preserve">Exam period: December </w:t>
      </w:r>
      <w:r w:rsidR="002B7D47" w:rsidRPr="008A6FE9">
        <w:rPr>
          <w:bCs/>
          <w:color w:val="000000" w:themeColor="text1"/>
        </w:rPr>
        <w:t>11</w:t>
      </w:r>
      <w:r w:rsidRPr="008A6FE9">
        <w:rPr>
          <w:bCs/>
          <w:color w:val="000000" w:themeColor="text1"/>
        </w:rPr>
        <w:t xml:space="preserve"> – 22, 202</w:t>
      </w:r>
      <w:r w:rsidR="002B7D47" w:rsidRPr="008A6FE9">
        <w:rPr>
          <w:bCs/>
          <w:color w:val="000000" w:themeColor="text1"/>
        </w:rPr>
        <w:t>5</w:t>
      </w:r>
      <w:r w:rsidRPr="008A6FE9">
        <w:rPr>
          <w:bCs/>
          <w:color w:val="000000" w:themeColor="text1"/>
        </w:rPr>
        <w:t xml:space="preserve">; </w:t>
      </w:r>
    </w:p>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34C2AA48" w14:textId="5CED4152" w:rsidR="00CF2B11" w:rsidRDefault="00CF2B11" w:rsidP="00845B86">
      <w:pPr>
        <w:rPr>
          <w:bCs/>
          <w:color w:val="007F00"/>
        </w:rPr>
      </w:pPr>
    </w:p>
    <w:p w14:paraId="304410E8" w14:textId="77777777" w:rsidR="00CB20A0" w:rsidRDefault="00CB20A0" w:rsidP="00845B86">
      <w:pPr>
        <w:rPr>
          <w:bCs/>
          <w:color w:val="007F00"/>
        </w:rPr>
      </w:pPr>
    </w:p>
    <w:p w14:paraId="1FBC87D6" w14:textId="1F71A1C6" w:rsidR="00CB20A0" w:rsidRPr="00CB20A0" w:rsidRDefault="00CB20A0" w:rsidP="00845B86">
      <w:pPr>
        <w:rPr>
          <w:bCs/>
          <w:color w:val="000000" w:themeColor="text1"/>
        </w:rPr>
      </w:pPr>
      <w:r w:rsidRPr="00CB20A0">
        <w:rPr>
          <w:bCs/>
          <w:color w:val="000000" w:themeColor="text1"/>
        </w:rPr>
        <w:t xml:space="preserve">Textbooks: </w:t>
      </w:r>
    </w:p>
    <w:p w14:paraId="7AFF21CA" w14:textId="77777777" w:rsidR="00CB20A0" w:rsidRPr="00CB20A0" w:rsidRDefault="00CB20A0" w:rsidP="00845B86">
      <w:pPr>
        <w:rPr>
          <w:bCs/>
          <w:color w:val="000000" w:themeColor="text1"/>
        </w:rPr>
      </w:pPr>
    </w:p>
    <w:p w14:paraId="08250A0B" w14:textId="14EFBCE2" w:rsidR="00CB20A0" w:rsidRPr="00CB20A0" w:rsidRDefault="00CB20A0" w:rsidP="00CB20A0">
      <w:pPr>
        <w:rPr>
          <w:bCs/>
          <w:color w:val="000000" w:themeColor="text1"/>
        </w:rPr>
      </w:pPr>
      <w:r w:rsidRPr="00CB20A0">
        <w:rPr>
          <w:bCs/>
          <w:color w:val="000000" w:themeColor="text1"/>
        </w:rPr>
        <w:t xml:space="preserve">"Real analysis" by M. </w:t>
      </w:r>
      <w:proofErr w:type="spellStart"/>
      <w:r w:rsidRPr="00CB20A0">
        <w:rPr>
          <w:bCs/>
          <w:color w:val="000000" w:themeColor="text1"/>
        </w:rPr>
        <w:t>Laczkovich</w:t>
      </w:r>
      <w:proofErr w:type="spellEnd"/>
      <w:r w:rsidRPr="00CB20A0">
        <w:rPr>
          <w:bCs/>
          <w:color w:val="000000" w:themeColor="text1"/>
        </w:rPr>
        <w:t xml:space="preserve"> and V. Sos, Springer, 2015.  (required)</w:t>
      </w:r>
    </w:p>
    <w:p w14:paraId="0FFF02AB" w14:textId="77777777" w:rsidR="00CB20A0" w:rsidRPr="00CB20A0" w:rsidRDefault="00CB20A0" w:rsidP="00CB20A0">
      <w:pPr>
        <w:rPr>
          <w:bCs/>
          <w:color w:val="000000" w:themeColor="text1"/>
        </w:rPr>
      </w:pPr>
    </w:p>
    <w:p w14:paraId="71461791" w14:textId="58AF0DC4" w:rsidR="00CB20A0" w:rsidRPr="00CB20A0" w:rsidRDefault="00CB20A0" w:rsidP="00CB20A0">
      <w:pPr>
        <w:rPr>
          <w:bCs/>
          <w:color w:val="000000" w:themeColor="text1"/>
        </w:rPr>
      </w:pPr>
      <w:r w:rsidRPr="00CB20A0">
        <w:rPr>
          <w:bCs/>
          <w:color w:val="000000" w:themeColor="text1"/>
        </w:rPr>
        <w:t>"Metric spaces" by S. Shirali and H. Vasudeva, Springer, 2006.  (required)</w:t>
      </w:r>
    </w:p>
    <w:p w14:paraId="07F7C06F" w14:textId="77777777" w:rsidR="00CB20A0" w:rsidRPr="00CB20A0" w:rsidRDefault="00CB20A0" w:rsidP="00CB20A0">
      <w:pPr>
        <w:rPr>
          <w:bCs/>
          <w:color w:val="000000" w:themeColor="text1"/>
        </w:rPr>
      </w:pPr>
    </w:p>
    <w:p w14:paraId="38AEB70B" w14:textId="0A9C71D3" w:rsidR="00CB20A0" w:rsidRPr="00CB20A0" w:rsidRDefault="00CB20A0" w:rsidP="00CB20A0">
      <w:pPr>
        <w:rPr>
          <w:bCs/>
          <w:color w:val="000000" w:themeColor="text1"/>
        </w:rPr>
      </w:pPr>
      <w:r w:rsidRPr="00CB20A0">
        <w:rPr>
          <w:bCs/>
          <w:color w:val="000000" w:themeColor="text1"/>
        </w:rPr>
        <w:t xml:space="preserve">"Metric spaces" by M. </w:t>
      </w:r>
      <w:proofErr w:type="spellStart"/>
      <w:r w:rsidRPr="00CB20A0">
        <w:rPr>
          <w:bCs/>
          <w:color w:val="000000" w:themeColor="text1"/>
        </w:rPr>
        <w:t>Searcoid</w:t>
      </w:r>
      <w:proofErr w:type="spellEnd"/>
      <w:r w:rsidRPr="00CB20A0">
        <w:rPr>
          <w:bCs/>
          <w:color w:val="000000" w:themeColor="text1"/>
        </w:rPr>
        <w:t xml:space="preserve">, Springer, 2007. (recommended) </w:t>
      </w:r>
    </w:p>
    <w:p w14:paraId="2B0B6E04" w14:textId="626C60EF" w:rsidR="00845B86" w:rsidRPr="00CB20A0" w:rsidRDefault="00845B86" w:rsidP="00845B86">
      <w:pPr>
        <w:rPr>
          <w:bCs/>
          <w:color w:val="000000" w:themeColor="text1"/>
        </w:rPr>
      </w:pPr>
    </w:p>
    <w:p w14:paraId="22A313FA" w14:textId="44842F75" w:rsidR="00BE6D96" w:rsidRPr="00CB20A0" w:rsidRDefault="00BE6D96" w:rsidP="00BE6D96">
      <w:pPr>
        <w:rPr>
          <w:b/>
          <w:bCs/>
          <w:color w:val="000000" w:themeColor="text1"/>
          <w:lang w:val="en-US"/>
        </w:rPr>
      </w:pPr>
      <w:r w:rsidRPr="00CB20A0">
        <w:rPr>
          <w:b/>
          <w:bCs/>
          <w:color w:val="000000" w:themeColor="text1"/>
          <w:lang w:val="en-US"/>
        </w:rPr>
        <w:t>Costs of Textbooks on the Course Syllabus</w:t>
      </w:r>
    </w:p>
    <w:p w14:paraId="65422B38" w14:textId="7BE36FEE" w:rsidR="00BE6D96" w:rsidRPr="00CB20A0" w:rsidRDefault="00CB20A0" w:rsidP="00BE6D96">
      <w:pPr>
        <w:rPr>
          <w:bCs/>
          <w:color w:val="000000" w:themeColor="text1"/>
          <w:lang w:val="en-US"/>
        </w:rPr>
      </w:pPr>
      <w:r w:rsidRPr="00CB20A0">
        <w:rPr>
          <w:bCs/>
          <w:color w:val="000000" w:themeColor="text1"/>
          <w:lang w:val="en-US"/>
        </w:rPr>
        <w:t xml:space="preserve">The electronic versions of the textbooks are available for free at the university library. </w:t>
      </w:r>
    </w:p>
    <w:p w14:paraId="38F07772" w14:textId="77777777" w:rsidR="00BE6D96" w:rsidRDefault="00BE6D96" w:rsidP="00845B86">
      <w:pPr>
        <w:rPr>
          <w:bCs/>
          <w:color w:val="0432FF"/>
        </w:rPr>
      </w:pPr>
    </w:p>
    <w:p w14:paraId="79B7AA7E" w14:textId="77777777" w:rsidR="009F463E" w:rsidRPr="00A84D9F" w:rsidRDefault="009F463E" w:rsidP="00845B86">
      <w:pPr>
        <w:rPr>
          <w:bCs/>
          <w:color w:val="385623" w:themeColor="accent6" w:themeShade="80"/>
        </w:rPr>
      </w:pPr>
    </w:p>
    <w:p w14:paraId="608EE469" w14:textId="77777777" w:rsidR="00CB20A0" w:rsidRDefault="00CB20A0" w:rsidP="004D3EEA">
      <w:pPr>
        <w:rPr>
          <w:bCs/>
          <w:color w:val="000000" w:themeColor="text1"/>
        </w:rPr>
      </w:pPr>
    </w:p>
    <w:p w14:paraId="227EBD70" w14:textId="77777777" w:rsidR="00CB20A0" w:rsidRDefault="00CB20A0" w:rsidP="004D3EEA">
      <w:pPr>
        <w:rPr>
          <w:bCs/>
          <w:color w:val="000000" w:themeColor="text1"/>
        </w:rPr>
      </w:pPr>
    </w:p>
    <w:p w14:paraId="0FB0C1AA" w14:textId="64DD8D33" w:rsidR="004D3EEA" w:rsidRPr="00542843" w:rsidRDefault="004D3EEA" w:rsidP="004D3EEA">
      <w:pPr>
        <w:rPr>
          <w:bCs/>
          <w:color w:val="FF0000"/>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575F6021" w14:textId="36879CA4" w:rsidR="008C038D" w:rsidRPr="00867AFD" w:rsidRDefault="008C038D" w:rsidP="00845B86">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6"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19A695E0" w14:textId="77777777" w:rsidR="007904F5" w:rsidRDefault="007904F5" w:rsidP="009F463E">
      <w:pPr>
        <w:rPr>
          <w:bCs/>
        </w:rPr>
      </w:pPr>
    </w:p>
    <w:p w14:paraId="0943C7C5" w14:textId="77777777" w:rsidR="009F463E" w:rsidRPr="00D37DB0"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4BDD4AC5" w14:textId="5EA94CD5" w:rsidR="006F72FE" w:rsidRPr="00B62076" w:rsidRDefault="009F463E" w:rsidP="00845B86">
      <w:pPr>
        <w:rPr>
          <w:bCs/>
          <w:color w:val="000000" w:themeColor="text1"/>
        </w:rPr>
      </w:pPr>
      <w:r w:rsidRPr="00B62076">
        <w:rPr>
          <w:bCs/>
          <w:color w:val="000000" w:themeColor="text1"/>
        </w:rPr>
        <w:t>A stable internet connection</w:t>
      </w:r>
      <w:r w:rsidR="00F0406E" w:rsidRPr="00B62076">
        <w:rPr>
          <w:bCs/>
          <w:color w:val="000000" w:themeColor="text1"/>
        </w:rPr>
        <w:t xml:space="preserve"> and</w:t>
      </w:r>
      <w:r w:rsidRPr="00B62076">
        <w:rPr>
          <w:bCs/>
          <w:color w:val="000000" w:themeColor="text1"/>
        </w:rPr>
        <w:t xml:space="preserve"> computer </w:t>
      </w:r>
      <w:r w:rsidR="00F0406E" w:rsidRPr="00B62076">
        <w:rPr>
          <w:bCs/>
          <w:color w:val="000000" w:themeColor="text1"/>
        </w:rPr>
        <w:t xml:space="preserve">are required to access the course Brightspace site. </w:t>
      </w:r>
    </w:p>
    <w:p w14:paraId="5713405B" w14:textId="77777777" w:rsidR="00867AFD" w:rsidRPr="00E563ED" w:rsidRDefault="00867AFD" w:rsidP="00845B86">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10344DFC" w14:textId="67A839B2" w:rsidR="004F4F29" w:rsidRDefault="004F4F29" w:rsidP="004F4F29">
      <w:pPr>
        <w:rPr>
          <w:bCs/>
        </w:rPr>
      </w:pPr>
      <w:r>
        <w:rPr>
          <w:bCs/>
        </w:rPr>
        <w:t>Assignments (</w:t>
      </w:r>
      <w:r w:rsidR="00CB20A0">
        <w:rPr>
          <w:bCs/>
        </w:rPr>
        <w:t>4</w:t>
      </w:r>
      <w:r>
        <w:rPr>
          <w:bCs/>
        </w:rPr>
        <w:t>)</w:t>
      </w:r>
      <w:r>
        <w:rPr>
          <w:bCs/>
        </w:rPr>
        <w:tab/>
      </w:r>
      <w:r w:rsidR="00CB20A0">
        <w:rPr>
          <w:bCs/>
        </w:rPr>
        <w:t>28</w:t>
      </w:r>
      <w:r>
        <w:rPr>
          <w:bCs/>
        </w:rPr>
        <w:t>%</w:t>
      </w:r>
      <w:r w:rsidRPr="004F4F29">
        <w:rPr>
          <w:bCs/>
        </w:rPr>
        <w:tab/>
      </w:r>
    </w:p>
    <w:p w14:paraId="76FD13F6" w14:textId="3561F818" w:rsidR="00A915C7" w:rsidRDefault="00A915C7" w:rsidP="004F4F29">
      <w:pPr>
        <w:rPr>
          <w:bCs/>
        </w:rPr>
      </w:pPr>
      <w:r>
        <w:rPr>
          <w:bCs/>
        </w:rPr>
        <w:t>Quizzes (</w:t>
      </w:r>
      <w:r w:rsidR="00CB20A0">
        <w:rPr>
          <w:bCs/>
        </w:rPr>
        <w:t>4</w:t>
      </w:r>
      <w:r>
        <w:rPr>
          <w:bCs/>
        </w:rPr>
        <w:t>)</w:t>
      </w:r>
      <w:r>
        <w:rPr>
          <w:bCs/>
        </w:rPr>
        <w:tab/>
      </w:r>
      <w:r>
        <w:rPr>
          <w:bCs/>
        </w:rPr>
        <w:tab/>
      </w:r>
      <w:r w:rsidR="00CB20A0">
        <w:rPr>
          <w:bCs/>
        </w:rPr>
        <w:t>36</w:t>
      </w:r>
      <w:r>
        <w:rPr>
          <w:bCs/>
        </w:rPr>
        <w:t>%</w:t>
      </w:r>
      <w:r w:rsidRPr="004F4F29">
        <w:rPr>
          <w:bCs/>
        </w:rPr>
        <w:tab/>
      </w:r>
    </w:p>
    <w:p w14:paraId="455AAC4E" w14:textId="5126196F" w:rsidR="004F4F29" w:rsidRPr="004F4F29" w:rsidRDefault="004F4F29" w:rsidP="004F4F29">
      <w:pPr>
        <w:rPr>
          <w:bCs/>
        </w:rPr>
      </w:pPr>
      <w:r w:rsidRPr="004F4F29">
        <w:rPr>
          <w:bCs/>
        </w:rPr>
        <w:t>Final Exam</w:t>
      </w:r>
      <w:r w:rsidRPr="004F4F29">
        <w:rPr>
          <w:bCs/>
        </w:rPr>
        <w:tab/>
      </w:r>
      <w:r>
        <w:rPr>
          <w:bCs/>
        </w:rPr>
        <w:tab/>
      </w:r>
      <w:r w:rsidR="00CB20A0">
        <w:rPr>
          <w:bCs/>
        </w:rPr>
        <w:t>36</w:t>
      </w:r>
      <w:r>
        <w:rPr>
          <w:bCs/>
        </w:rPr>
        <w:t>%</w:t>
      </w:r>
    </w:p>
    <w:p w14:paraId="42F73679" w14:textId="77777777" w:rsidR="00D7028B" w:rsidRDefault="00D7028B" w:rsidP="00D7028B">
      <w:pPr>
        <w:rPr>
          <w:bCs/>
          <w:color w:val="FF0000"/>
        </w:rPr>
      </w:pPr>
    </w:p>
    <w:p w14:paraId="678E705D" w14:textId="2B561F2E" w:rsidR="00CE5534" w:rsidRPr="00CE5534" w:rsidRDefault="00CB20A0" w:rsidP="00EA7C54">
      <w:pPr>
        <w:rPr>
          <w:bCs/>
          <w:color w:val="000000" w:themeColor="text1"/>
        </w:rPr>
      </w:pPr>
      <w:r w:rsidRPr="00CE5534">
        <w:rPr>
          <w:bCs/>
          <w:color w:val="000000" w:themeColor="text1"/>
        </w:rPr>
        <w:t xml:space="preserve">Assignment due dates are: Wednesdays </w:t>
      </w:r>
      <w:r w:rsidR="00CE5534" w:rsidRPr="00CE5534">
        <w:rPr>
          <w:bCs/>
          <w:color w:val="000000" w:themeColor="text1"/>
        </w:rPr>
        <w:t xml:space="preserve">Sept. 17, Oct. 1, Oct. 22, Nov. 26 (each 7%).  </w:t>
      </w:r>
    </w:p>
    <w:p w14:paraId="2BB61885" w14:textId="2B190FF2" w:rsidR="00784562" w:rsidRDefault="00CE5534" w:rsidP="00EA7C54">
      <w:pPr>
        <w:rPr>
          <w:bCs/>
          <w:color w:val="000000" w:themeColor="text1"/>
        </w:rPr>
      </w:pPr>
      <w:r w:rsidRPr="00CE5534">
        <w:rPr>
          <w:bCs/>
          <w:color w:val="000000" w:themeColor="text1"/>
        </w:rPr>
        <w:t xml:space="preserve">In class quiz dates are: Wednesdays Sept. 24, Oct. 8, Oct. 29, Nov. 19 (each 9%). </w:t>
      </w:r>
      <w:r w:rsidR="00CB20A0" w:rsidRPr="00CE5534">
        <w:rPr>
          <w:bCs/>
          <w:color w:val="000000" w:themeColor="text1"/>
        </w:rPr>
        <w:t xml:space="preserve">   </w:t>
      </w:r>
    </w:p>
    <w:p w14:paraId="2C928134" w14:textId="77777777" w:rsidR="00A56D9A" w:rsidRDefault="00A56D9A" w:rsidP="00EA7C54">
      <w:pPr>
        <w:rPr>
          <w:bCs/>
          <w:color w:val="000000" w:themeColor="text1"/>
        </w:rPr>
      </w:pPr>
    </w:p>
    <w:p w14:paraId="1BC346DA" w14:textId="77777777" w:rsidR="00A56D9A" w:rsidRPr="00CB1347" w:rsidRDefault="00A56D9A" w:rsidP="00A56D9A">
      <w:pPr>
        <w:rPr>
          <w:bCs/>
          <w:color w:val="000000" w:themeColor="text1"/>
        </w:rPr>
      </w:pPr>
      <w:r w:rsidRPr="00CB1347">
        <w:rPr>
          <w:bCs/>
          <w:color w:val="000000" w:themeColor="text1"/>
        </w:rPr>
        <w:t xml:space="preserve">Final exam: a 3 hour cumulative exam scheduled by the Exam Central. </w:t>
      </w:r>
    </w:p>
    <w:p w14:paraId="681F81CB" w14:textId="77777777" w:rsidR="00A56D9A" w:rsidRPr="00CE5534" w:rsidRDefault="00A56D9A" w:rsidP="00EA7C54">
      <w:pPr>
        <w:rPr>
          <w:bCs/>
          <w:color w:val="000000" w:themeColor="text1"/>
        </w:rPr>
      </w:pPr>
    </w:p>
    <w:p w14:paraId="6760069B" w14:textId="77777777" w:rsidR="007628C4" w:rsidRPr="00CE5534" w:rsidRDefault="007628C4" w:rsidP="00845B86">
      <w:pPr>
        <w:rPr>
          <w:bCs/>
          <w:color w:val="000000" w:themeColor="text1"/>
        </w:rPr>
      </w:pPr>
    </w:p>
    <w:p w14:paraId="3600FC62" w14:textId="2E3C354A" w:rsidR="00C22C65" w:rsidRPr="00CE5534" w:rsidRDefault="00C22C65" w:rsidP="00681697">
      <w:pPr>
        <w:rPr>
          <w:bCs/>
          <w:color w:val="000000" w:themeColor="text1"/>
        </w:rPr>
      </w:pPr>
    </w:p>
    <w:p w14:paraId="0C2B2FB4" w14:textId="6F0D2524" w:rsidR="00A84E86" w:rsidRPr="00CE5534" w:rsidRDefault="00A84E86" w:rsidP="00681697">
      <w:pPr>
        <w:rPr>
          <w:b/>
          <w:bCs/>
          <w:color w:val="000000" w:themeColor="text1"/>
        </w:rPr>
      </w:pPr>
      <w:r w:rsidRPr="00CE5534">
        <w:rPr>
          <w:b/>
          <w:bCs/>
          <w:color w:val="000000" w:themeColor="text1"/>
        </w:rPr>
        <w:t>Use of Generative AI Tools</w:t>
      </w:r>
    </w:p>
    <w:p w14:paraId="5939ABBD" w14:textId="2813DA86" w:rsidR="00A84E86" w:rsidRPr="00CE5534" w:rsidRDefault="006B60A1" w:rsidP="00681697">
      <w:pPr>
        <w:rPr>
          <w:color w:val="000000" w:themeColor="text1"/>
        </w:rPr>
      </w:pPr>
      <w:r w:rsidRPr="00CE5534">
        <w:rPr>
          <w:color w:val="000000" w:themeColor="text1"/>
        </w:rPr>
        <w:t xml:space="preserve">(e.g., ChatGPT, Copilot, Gemini) </w:t>
      </w:r>
      <w:r w:rsidR="00FA3C36" w:rsidRPr="00CE5534">
        <w:rPr>
          <w:color w:val="000000" w:themeColor="text1"/>
        </w:rPr>
        <w:t>is</w:t>
      </w:r>
      <w:r w:rsidRPr="00CE5534">
        <w:rPr>
          <w:color w:val="000000" w:themeColor="text1"/>
        </w:rPr>
        <w:t> </w:t>
      </w:r>
      <w:r w:rsidRPr="00CE5534">
        <w:rPr>
          <w:b/>
          <w:bCs/>
          <w:color w:val="000000" w:themeColor="text1"/>
        </w:rPr>
        <w:t>prohibited</w:t>
      </w:r>
      <w:r w:rsidR="00FA3C36" w:rsidRPr="00CE5534">
        <w:rPr>
          <w:b/>
          <w:bCs/>
          <w:color w:val="000000" w:themeColor="text1"/>
        </w:rPr>
        <w:t xml:space="preserve"> on tests and exams, </w:t>
      </w:r>
      <w:r w:rsidR="00CB20A0" w:rsidRPr="00CE5534">
        <w:rPr>
          <w:b/>
          <w:bCs/>
          <w:color w:val="000000" w:themeColor="text1"/>
        </w:rPr>
        <w:t>since</w:t>
      </w:r>
      <w:r w:rsidR="00FA3C36" w:rsidRPr="00CE5534">
        <w:rPr>
          <w:b/>
          <w:bCs/>
          <w:color w:val="000000" w:themeColor="text1"/>
        </w:rPr>
        <w:t xml:space="preserve"> the tests and exams are closed book and no aids are allowed. For the written </w:t>
      </w:r>
      <w:r w:rsidR="00CE5534">
        <w:rPr>
          <w:b/>
          <w:bCs/>
          <w:color w:val="000000" w:themeColor="text1"/>
        </w:rPr>
        <w:t xml:space="preserve">homework </w:t>
      </w:r>
      <w:r w:rsidR="00FA3C36" w:rsidRPr="00CE5534">
        <w:rPr>
          <w:b/>
          <w:bCs/>
          <w:color w:val="000000" w:themeColor="text1"/>
        </w:rPr>
        <w:t xml:space="preserve">assignments, the use of generative AI tools is discouraged but </w:t>
      </w:r>
      <w:r w:rsidRPr="00CE5534">
        <w:rPr>
          <w:b/>
          <w:bCs/>
          <w:color w:val="000000" w:themeColor="text1"/>
        </w:rPr>
        <w:t>permitted with limitations</w:t>
      </w:r>
      <w:r w:rsidR="00FA3C36" w:rsidRPr="00CE5534">
        <w:rPr>
          <w:color w:val="000000" w:themeColor="text1"/>
        </w:rPr>
        <w:t xml:space="preserve">: such </w:t>
      </w:r>
      <w:r w:rsidRPr="00CE5534">
        <w:rPr>
          <w:color w:val="000000" w:themeColor="text1"/>
        </w:rPr>
        <w:t>use of AI</w:t>
      </w:r>
      <w:r w:rsidR="00FA3C36" w:rsidRPr="00CE5534">
        <w:rPr>
          <w:color w:val="000000" w:themeColor="text1"/>
        </w:rPr>
        <w:t xml:space="preserve"> may include </w:t>
      </w:r>
      <w:r w:rsidRPr="00CE5534">
        <w:rPr>
          <w:color w:val="000000" w:themeColor="text1"/>
        </w:rPr>
        <w:t xml:space="preserve"> brainstorming not final writing.</w:t>
      </w:r>
      <w:r w:rsidR="00FA3C36" w:rsidRPr="00CE5534">
        <w:rPr>
          <w:color w:val="000000" w:themeColor="text1"/>
        </w:rPr>
        <w:t xml:space="preserve"> The students may not appeal any marks lost due to any mistakes caused by the use of AI or online tools.    </w:t>
      </w:r>
    </w:p>
    <w:p w14:paraId="5D6CB14D" w14:textId="77777777" w:rsidR="00A84E86" w:rsidRDefault="00A84E86" w:rsidP="00681697">
      <w:pPr>
        <w:rPr>
          <w:b/>
          <w:bCs/>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7"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8">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9">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lastRenderedPageBreak/>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34B3997D" w14:textId="71D22203" w:rsidR="007A02FE" w:rsidRPr="00E46903" w:rsidRDefault="007A02FE" w:rsidP="007A02FE">
      <w:pPr>
        <w:pStyle w:val="ListParagraph"/>
        <w:numPr>
          <w:ilvl w:val="0"/>
          <w:numId w:val="4"/>
        </w:numPr>
        <w:rPr>
          <w:rFonts w:ascii="Times New Roman" w:hAnsi="Times New Roman" w:cs="Times New Roman"/>
          <w:color w:val="000000" w:themeColor="text1"/>
        </w:rPr>
      </w:pPr>
      <w:r w:rsidRPr="00E46903">
        <w:rPr>
          <w:rFonts w:ascii="Times New Roman" w:hAnsi="Times New Roman" w:cs="Times New Roman"/>
          <w:color w:val="000000" w:themeColor="text1"/>
        </w:rPr>
        <w:t>Examinations scheduled during official examination periods (Defined by policy)</w:t>
      </w:r>
    </w:p>
    <w:p w14:paraId="283EC175" w14:textId="77777777" w:rsidR="00DE4ECE" w:rsidRPr="00E46903" w:rsidRDefault="00DE4ECE" w:rsidP="00CA408D">
      <w:pPr>
        <w:rPr>
          <w:color w:val="000000" w:themeColor="text1"/>
        </w:rPr>
      </w:pPr>
    </w:p>
    <w:p w14:paraId="3C10DF7D" w14:textId="68733ED8" w:rsidR="008E4055" w:rsidRPr="00E46903" w:rsidRDefault="500D0CAB" w:rsidP="00CA408D">
      <w:pPr>
        <w:rPr>
          <w:color w:val="000000" w:themeColor="text1"/>
        </w:rPr>
      </w:pPr>
      <w:r w:rsidRPr="00E46903">
        <w:rPr>
          <w:color w:val="000000" w:themeColor="text1"/>
        </w:rPr>
        <w:t>When</w:t>
      </w:r>
      <w:r w:rsidR="67DF503C" w:rsidRPr="00E46903">
        <w:rPr>
          <w:color w:val="000000" w:themeColor="text1"/>
        </w:rPr>
        <w:t xml:space="preserve"> </w:t>
      </w:r>
      <w:r w:rsidR="774F6C3F" w:rsidRPr="00E46903">
        <w:rPr>
          <w:color w:val="000000" w:themeColor="text1"/>
        </w:rPr>
        <w:t>a</w:t>
      </w:r>
      <w:r w:rsidR="67DF503C" w:rsidRPr="00E46903">
        <w:rPr>
          <w:color w:val="000000" w:themeColor="text1"/>
        </w:rPr>
        <w:t xml:space="preserve"> student </w:t>
      </w:r>
      <w:r w:rsidR="0169CF09" w:rsidRPr="00E46903">
        <w:rPr>
          <w:i/>
          <w:iCs/>
          <w:color w:val="000000" w:themeColor="text1"/>
          <w:u w:val="single"/>
        </w:rPr>
        <w:t>mistakenly</w:t>
      </w:r>
      <w:r w:rsidR="0169CF09" w:rsidRPr="00E46903">
        <w:rPr>
          <w:color w:val="000000" w:themeColor="text1"/>
        </w:rPr>
        <w:t xml:space="preserve"> </w:t>
      </w:r>
      <w:r w:rsidR="2DD68636" w:rsidRPr="00E46903">
        <w:rPr>
          <w:color w:val="000000" w:themeColor="text1"/>
        </w:rPr>
        <w:t>submit</w:t>
      </w:r>
      <w:r w:rsidR="68B032BE" w:rsidRPr="00E46903">
        <w:rPr>
          <w:color w:val="000000" w:themeColor="text1"/>
        </w:rPr>
        <w:t>s</w:t>
      </w:r>
      <w:r w:rsidR="2DD68636" w:rsidRPr="00E46903">
        <w:rPr>
          <w:color w:val="000000" w:themeColor="text1"/>
        </w:rPr>
        <w:t xml:space="preserve"> their </w:t>
      </w:r>
      <w:r w:rsidR="2DD68636" w:rsidRPr="00E46903">
        <w:rPr>
          <w:color w:val="000000" w:themeColor="text1"/>
          <w:u w:val="single"/>
        </w:rPr>
        <w:t>one</w:t>
      </w:r>
      <w:r w:rsidR="2DD68636" w:rsidRPr="00E46903">
        <w:rPr>
          <w:color w:val="000000" w:themeColor="text1"/>
        </w:rPr>
        <w:t xml:space="preserve"> allowed Academic Consideration request </w:t>
      </w:r>
      <w:r w:rsidR="2DD68636" w:rsidRPr="00E46903">
        <w:rPr>
          <w:b/>
          <w:bCs/>
          <w:color w:val="000000" w:themeColor="text1"/>
        </w:rPr>
        <w:t>without</w:t>
      </w:r>
      <w:r w:rsidR="2DC713AB" w:rsidRPr="00E46903">
        <w:rPr>
          <w:b/>
          <w:bCs/>
          <w:color w:val="000000" w:themeColor="text1"/>
        </w:rPr>
        <w:t xml:space="preserve"> </w:t>
      </w:r>
      <w:r w:rsidR="2DD68636" w:rsidRPr="00E46903">
        <w:rPr>
          <w:b/>
          <w:bCs/>
          <w:color w:val="000000" w:themeColor="text1"/>
        </w:rPr>
        <w:t>supporting documentation</w:t>
      </w:r>
      <w:r w:rsidR="2DD68636" w:rsidRPr="00E46903">
        <w:rPr>
          <w:color w:val="000000" w:themeColor="text1"/>
        </w:rPr>
        <w:t xml:space="preserve"> </w:t>
      </w:r>
      <w:r w:rsidR="774F6C3F" w:rsidRPr="00E46903">
        <w:rPr>
          <w:color w:val="000000" w:themeColor="text1"/>
        </w:rPr>
        <w:t xml:space="preserve">for the </w:t>
      </w:r>
      <w:r w:rsidR="344B81A5" w:rsidRPr="00E46903">
        <w:rPr>
          <w:color w:val="000000" w:themeColor="text1"/>
        </w:rPr>
        <w:t xml:space="preserve">assessments </w:t>
      </w:r>
      <w:r w:rsidR="744F1201" w:rsidRPr="00E46903">
        <w:rPr>
          <w:color w:val="000000" w:themeColor="text1"/>
        </w:rPr>
        <w:t xml:space="preserve">listed </w:t>
      </w:r>
      <w:r w:rsidR="774F6C3F" w:rsidRPr="00E46903">
        <w:rPr>
          <w:color w:val="000000" w:themeColor="text1"/>
        </w:rPr>
        <w:t>above or th</w:t>
      </w:r>
      <w:r w:rsidR="7ABEABC5" w:rsidRPr="00E46903">
        <w:rPr>
          <w:color w:val="000000" w:themeColor="text1"/>
        </w:rPr>
        <w:t xml:space="preserve">ose in the </w:t>
      </w:r>
      <w:r w:rsidR="7ABEABC5" w:rsidRPr="00E46903">
        <w:rPr>
          <w:b/>
          <w:bCs/>
          <w:color w:val="000000" w:themeColor="text1"/>
        </w:rPr>
        <w:t>Coursework with Assessment Flexibility</w:t>
      </w:r>
      <w:r w:rsidR="774F6C3F" w:rsidRPr="00E46903">
        <w:rPr>
          <w:color w:val="000000" w:themeColor="text1"/>
        </w:rPr>
        <w:t xml:space="preserve"> </w:t>
      </w:r>
      <w:r w:rsidR="7ABEABC5" w:rsidRPr="00E46903">
        <w:rPr>
          <w:color w:val="000000" w:themeColor="text1"/>
        </w:rPr>
        <w:t>section</w:t>
      </w:r>
      <w:r w:rsidR="53A383CF" w:rsidRPr="00E46903">
        <w:rPr>
          <w:color w:val="000000" w:themeColor="text1"/>
        </w:rPr>
        <w:t xml:space="preserve"> below</w:t>
      </w:r>
      <w:r w:rsidR="7ABEABC5" w:rsidRPr="00E46903">
        <w:rPr>
          <w:color w:val="000000" w:themeColor="text1"/>
        </w:rPr>
        <w:t xml:space="preserve">, </w:t>
      </w:r>
      <w:r w:rsidR="49B66993" w:rsidRPr="00E46903">
        <w:rPr>
          <w:color w:val="000000" w:themeColor="text1"/>
          <w:u w:val="single"/>
        </w:rPr>
        <w:t>t</w:t>
      </w:r>
      <w:r w:rsidR="070C1E82" w:rsidRPr="00E46903">
        <w:rPr>
          <w:color w:val="000000" w:themeColor="text1"/>
          <w:u w:val="single"/>
        </w:rPr>
        <w:t>he</w:t>
      </w:r>
      <w:r w:rsidR="672E7350" w:rsidRPr="00E46903">
        <w:rPr>
          <w:color w:val="000000" w:themeColor="text1"/>
          <w:u w:val="single"/>
        </w:rPr>
        <w:t xml:space="preserve"> </w:t>
      </w:r>
      <w:r w:rsidR="37390FED" w:rsidRPr="00E46903">
        <w:rPr>
          <w:color w:val="000000" w:themeColor="text1"/>
          <w:u w:val="single"/>
        </w:rPr>
        <w:t xml:space="preserve">request </w:t>
      </w:r>
      <w:r w:rsidR="7205D003" w:rsidRPr="00E46903">
        <w:rPr>
          <w:color w:val="000000" w:themeColor="text1"/>
          <w:u w:val="single"/>
        </w:rPr>
        <w:t xml:space="preserve">cannot be </w:t>
      </w:r>
      <w:r w:rsidR="4D3BEC39" w:rsidRPr="00E46903">
        <w:rPr>
          <w:color w:val="000000" w:themeColor="text1"/>
          <w:u w:val="single"/>
        </w:rPr>
        <w:t>recalled</w:t>
      </w:r>
      <w:r w:rsidR="7205D003" w:rsidRPr="00E46903">
        <w:rPr>
          <w:color w:val="000000" w:themeColor="text1"/>
          <w:u w:val="single"/>
        </w:rPr>
        <w:t xml:space="preserve"> and reapplied</w:t>
      </w:r>
      <w:r w:rsidR="34E5F694" w:rsidRPr="00E46903">
        <w:rPr>
          <w:color w:val="000000" w:themeColor="text1"/>
        </w:rPr>
        <w:t>.</w:t>
      </w:r>
      <w:r w:rsidR="49B66993" w:rsidRPr="00E46903">
        <w:rPr>
          <w:color w:val="000000" w:themeColor="text1"/>
        </w:rPr>
        <w:t xml:space="preserve"> This privilege is forfeited. </w:t>
      </w:r>
    </w:p>
    <w:p w14:paraId="24842171" w14:textId="77777777" w:rsidR="008E4055" w:rsidRPr="00E46903" w:rsidRDefault="008E4055" w:rsidP="00CA408D">
      <w:pPr>
        <w:rPr>
          <w:color w:val="000000" w:themeColor="text1"/>
        </w:rPr>
      </w:pPr>
    </w:p>
    <w:p w14:paraId="40AFD5EB" w14:textId="3A8BA74E" w:rsidR="00FF3C4E" w:rsidRPr="00E46903" w:rsidRDefault="00534549" w:rsidP="00FF3C4E">
      <w:pPr>
        <w:rPr>
          <w:b/>
          <w:bCs/>
          <w:color w:val="000000" w:themeColor="text1"/>
        </w:rPr>
      </w:pPr>
      <w:r w:rsidRPr="00E46903">
        <w:rPr>
          <w:b/>
          <w:bCs/>
          <w:color w:val="000000" w:themeColor="text1"/>
        </w:rPr>
        <w:t xml:space="preserve">Evaluation Scheme for Missed </w:t>
      </w:r>
      <w:r w:rsidR="00FF3C4E" w:rsidRPr="00E46903">
        <w:rPr>
          <w:b/>
          <w:bCs/>
          <w:color w:val="000000" w:themeColor="text1"/>
        </w:rPr>
        <w:t>Assessment</w:t>
      </w:r>
      <w:r w:rsidRPr="00E46903">
        <w:rPr>
          <w:b/>
          <w:bCs/>
          <w:color w:val="000000" w:themeColor="text1"/>
        </w:rPr>
        <w:t>s</w:t>
      </w:r>
    </w:p>
    <w:p w14:paraId="63EA7E65" w14:textId="3D3AFBF3" w:rsidR="00E46903" w:rsidRPr="00E46903" w:rsidRDefault="00CE5534" w:rsidP="00FF3C4E">
      <w:pPr>
        <w:rPr>
          <w:color w:val="000000" w:themeColor="text1"/>
        </w:rPr>
      </w:pPr>
      <w:r w:rsidRPr="00E46903">
        <w:rPr>
          <w:color w:val="000000" w:themeColor="text1"/>
        </w:rPr>
        <w:t xml:space="preserve">Missed homework assignments: homework solutions will be posted on Brightspace promptly after the due date. No late papers will be accepted after the solutions page is posted. A missed assignment </w:t>
      </w:r>
      <w:r w:rsidR="00E46903" w:rsidRPr="00E46903">
        <w:rPr>
          <w:color w:val="000000" w:themeColor="text1"/>
        </w:rPr>
        <w:t>without a valid reason is a zero mark. Up to 2 missed assignments with a valid reason will be reweighted</w:t>
      </w:r>
      <w:r w:rsidR="002053E2">
        <w:rPr>
          <w:color w:val="000000" w:themeColor="text1"/>
        </w:rPr>
        <w:t xml:space="preserve"> to the homework component. Reweighting of 3 or 4 missed assignments (all with a valid reason) will be to the final exam. </w:t>
      </w:r>
    </w:p>
    <w:p w14:paraId="16D5961D" w14:textId="7B721DB4" w:rsidR="00CE5534" w:rsidRPr="00E46903" w:rsidRDefault="00E46903" w:rsidP="00FF3C4E">
      <w:pPr>
        <w:rPr>
          <w:color w:val="000000" w:themeColor="text1"/>
        </w:rPr>
      </w:pPr>
      <w:r w:rsidRPr="00E46903">
        <w:rPr>
          <w:color w:val="000000" w:themeColor="text1"/>
        </w:rPr>
        <w:t xml:space="preserve">   </w:t>
      </w:r>
      <w:r w:rsidR="00CE5534" w:rsidRPr="00E46903">
        <w:rPr>
          <w:color w:val="000000" w:themeColor="text1"/>
        </w:rPr>
        <w:t xml:space="preserve">  </w:t>
      </w:r>
    </w:p>
    <w:p w14:paraId="37838B62" w14:textId="473F3714" w:rsidR="00E46903" w:rsidRPr="00E46903" w:rsidRDefault="00E46903" w:rsidP="00E46903">
      <w:pPr>
        <w:rPr>
          <w:color w:val="000000" w:themeColor="text1"/>
        </w:rPr>
      </w:pPr>
      <w:r w:rsidRPr="00E46903">
        <w:rPr>
          <w:color w:val="000000" w:themeColor="text1"/>
        </w:rPr>
        <w:t xml:space="preserve">Missed quizzes: a missed quiz without a valid reason is a zero mark. A student who missed a quiz and has a valid reason will be given one opportunity to write a make-up quiz within 2 weeks. </w:t>
      </w:r>
    </w:p>
    <w:p w14:paraId="747B1BCA" w14:textId="77777777" w:rsidR="00E46903" w:rsidRPr="00E46903" w:rsidRDefault="00E46903" w:rsidP="00E46903">
      <w:pPr>
        <w:rPr>
          <w:color w:val="000000" w:themeColor="text1"/>
        </w:rPr>
      </w:pPr>
    </w:p>
    <w:p w14:paraId="30BE2B49" w14:textId="385436A5" w:rsidR="002053E2" w:rsidRPr="00E46903" w:rsidRDefault="00E46903" w:rsidP="002053E2">
      <w:pPr>
        <w:rPr>
          <w:color w:val="000000" w:themeColor="text1"/>
        </w:rPr>
      </w:pPr>
      <w:r w:rsidRPr="00E46903">
        <w:rPr>
          <w:color w:val="000000" w:themeColor="text1"/>
        </w:rPr>
        <w:t xml:space="preserve">Up to 2 missed </w:t>
      </w:r>
      <w:r w:rsidR="002053E2">
        <w:rPr>
          <w:color w:val="000000" w:themeColor="text1"/>
        </w:rPr>
        <w:t>quizzes</w:t>
      </w:r>
      <w:r w:rsidRPr="00E46903">
        <w:rPr>
          <w:color w:val="000000" w:themeColor="text1"/>
        </w:rPr>
        <w:t xml:space="preserve"> with a valid reason will be reweighted</w:t>
      </w:r>
      <w:r w:rsidR="002053E2">
        <w:rPr>
          <w:color w:val="000000" w:themeColor="text1"/>
        </w:rPr>
        <w:t xml:space="preserve"> to the quiz component. Reweighting of 3 or 4 missed quizzes (all with a valid reason) will be to the final exam. </w:t>
      </w:r>
    </w:p>
    <w:p w14:paraId="27CCAC78" w14:textId="0A8F610C" w:rsidR="00E46903" w:rsidRPr="00E46903" w:rsidRDefault="00E46903" w:rsidP="00E46903">
      <w:pPr>
        <w:rPr>
          <w:color w:val="000000" w:themeColor="text1"/>
        </w:rPr>
      </w:pPr>
    </w:p>
    <w:p w14:paraId="59847830" w14:textId="10AC06A8" w:rsidR="00FF3C4E" w:rsidRDefault="00FF3C4E" w:rsidP="00FF3C4E">
      <w:pPr>
        <w:rPr>
          <w:color w:val="007F00"/>
        </w:rPr>
      </w:pPr>
    </w:p>
    <w:p w14:paraId="712E8B7E" w14:textId="498131EB" w:rsidR="00E46903" w:rsidRDefault="00E46903" w:rsidP="00FF3C4E">
      <w:pPr>
        <w:rPr>
          <w:color w:val="007F00"/>
        </w:rPr>
      </w:pPr>
      <w:r w:rsidRPr="002053E2">
        <w:rPr>
          <w:color w:val="000000" w:themeColor="text1"/>
        </w:rPr>
        <w:t>The</w:t>
      </w:r>
      <w:r>
        <w:rPr>
          <w:color w:val="007F00"/>
        </w:rPr>
        <w:t xml:space="preserve">  </w:t>
      </w:r>
      <w:r w:rsidRPr="5AFFF007">
        <w:rPr>
          <w:color w:val="000000" w:themeColor="text1"/>
          <w:u w:val="single"/>
        </w:rPr>
        <w:t>one</w:t>
      </w:r>
      <w:r w:rsidRPr="5AFFF007">
        <w:rPr>
          <w:color w:val="000000" w:themeColor="text1"/>
        </w:rPr>
        <w:t xml:space="preserve"> Academic Consideration request </w:t>
      </w:r>
      <w:r w:rsidRPr="5AFFF007">
        <w:rPr>
          <w:b/>
          <w:bCs/>
          <w:color w:val="000000" w:themeColor="text1"/>
        </w:rPr>
        <w:t>without supporting documentation</w:t>
      </w:r>
      <w:r>
        <w:rPr>
          <w:b/>
          <w:bCs/>
          <w:color w:val="000000" w:themeColor="text1"/>
        </w:rPr>
        <w:t xml:space="preserve"> </w:t>
      </w:r>
      <w:r w:rsidRPr="00E46903">
        <w:rPr>
          <w:bCs/>
          <w:color w:val="000000" w:themeColor="text1"/>
        </w:rPr>
        <w:t>per course per term (see above) would count as a “valid reason” for either a missed assignment or a missed quiz.</w:t>
      </w:r>
      <w:r>
        <w:rPr>
          <w:b/>
          <w:bCs/>
          <w:color w:val="000000" w:themeColor="text1"/>
        </w:rPr>
        <w:t xml:space="preserve"> </w:t>
      </w:r>
    </w:p>
    <w:p w14:paraId="3CAA8E5D" w14:textId="77777777" w:rsidR="00534549" w:rsidRDefault="00534549" w:rsidP="00FF3C4E">
      <w:pPr>
        <w:rPr>
          <w:color w:val="007F00"/>
        </w:rPr>
      </w:pPr>
    </w:p>
    <w:p w14:paraId="4450A824" w14:textId="22E93606" w:rsidR="00534549" w:rsidRPr="00534549"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10"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59688A14" w14:textId="77777777" w:rsidR="00FF3C4E" w:rsidRDefault="00FF3C4E" w:rsidP="00CA408D">
      <w:pPr>
        <w:rPr>
          <w:color w:val="000000" w:themeColor="text1"/>
        </w:rPr>
      </w:pPr>
    </w:p>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1"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2"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3"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4"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15"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16"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17"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18"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19"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3C4B083F" w14:textId="6E0801BB"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possession of unauthorized electronic devices during any in-person assessment (such as tests, midterms, and final examinations) is strictly prohibited. This includes, but is not limited to: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0FA55A5E" w:rsidR="00A84E86" w:rsidRPr="00A84E86" w:rsidRDefault="009D01B8" w:rsidP="00A84E86">
      <w:pPr>
        <w:spacing w:before="120"/>
      </w:pPr>
      <w:r>
        <w:t>No electronic devices, including</w:t>
      </w:r>
      <w:r w:rsidR="00A84E86" w:rsidRPr="00A84E86">
        <w:t xml:space="preserve"> non-programmable calculators</w:t>
      </w:r>
      <w:r>
        <w:t>, will be allowed in</w:t>
      </w:r>
      <w:r w:rsidR="00A84E86" w:rsidRPr="00A84E86">
        <w:t xml:space="preserve">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29E5E3C2"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lastRenderedPageBreak/>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in the completion of any course assessments, including but not limited to: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07967535" w14:textId="693B0FD0" w:rsidR="00A84E86" w:rsidRPr="00A84E86" w:rsidRDefault="00A84E86" w:rsidP="00A84E86">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56F1B62F" w14:textId="77777777" w:rsidR="00A84E86" w:rsidRDefault="00A84E86" w:rsidP="00AC24C1">
      <w:pPr>
        <w:rPr>
          <w:color w:val="007F00"/>
        </w:rPr>
      </w:pPr>
    </w:p>
    <w:p w14:paraId="6A726E1F" w14:textId="77777777" w:rsidR="00A84E86" w:rsidRPr="00AC24C1" w:rsidRDefault="00A84E86" w:rsidP="00AC24C1">
      <w:pPr>
        <w:rPr>
          <w:color w:val="007F00"/>
        </w:rPr>
      </w:pPr>
    </w:p>
    <w:p w14:paraId="6D3C6450" w14:textId="2C4FB06C" w:rsidR="00B5755B" w:rsidRPr="00AD70A6" w:rsidRDefault="00B5755B" w:rsidP="003C6E2C">
      <w:pPr>
        <w:rPr>
          <w:color w:val="000000" w:themeColor="text1"/>
        </w:rPr>
      </w:pPr>
    </w:p>
    <w:p w14:paraId="2ED89499" w14:textId="12E74911" w:rsidR="009F463E" w:rsidRPr="005125E9" w:rsidRDefault="009F463E" w:rsidP="009F463E">
      <w:pPr>
        <w:rPr>
          <w:bCs/>
          <w:color w:val="000000" w:themeColor="text1"/>
        </w:rPr>
      </w:pPr>
      <w:r w:rsidRPr="005125E9">
        <w:rPr>
          <w:bCs/>
          <w:color w:val="000000" w:themeColor="text1"/>
        </w:rPr>
        <w:t>I</w:t>
      </w:r>
      <w:r w:rsidR="009D01B8" w:rsidRPr="005125E9">
        <w:rPr>
          <w:bCs/>
          <w:color w:val="000000" w:themeColor="text1"/>
        </w:rPr>
        <w:t xml:space="preserve">n the event of a health lockdown, </w:t>
      </w:r>
      <w:r w:rsidR="00403CC2" w:rsidRPr="005125E9">
        <w:rPr>
          <w:bCs/>
          <w:color w:val="000000" w:themeColor="text1"/>
        </w:rPr>
        <w:t>R</w:t>
      </w:r>
      <w:r w:rsidR="00B451DA" w:rsidRPr="005125E9">
        <w:rPr>
          <w:bCs/>
          <w:color w:val="000000" w:themeColor="text1"/>
        </w:rPr>
        <w:t>emote</w:t>
      </w:r>
      <w:r w:rsidRPr="005125E9">
        <w:rPr>
          <w:bCs/>
          <w:color w:val="000000" w:themeColor="text1"/>
        </w:rPr>
        <w:t xml:space="preserve"> </w:t>
      </w:r>
      <w:r w:rsidR="00403CC2" w:rsidRPr="005125E9">
        <w:rPr>
          <w:bCs/>
          <w:color w:val="000000" w:themeColor="text1"/>
        </w:rPr>
        <w:t>P</w:t>
      </w:r>
      <w:r w:rsidRPr="005125E9">
        <w:rPr>
          <w:bCs/>
          <w:color w:val="000000" w:themeColor="text1"/>
        </w:rPr>
        <w:t xml:space="preserve">roctoring </w:t>
      </w:r>
      <w:r w:rsidR="00403CC2" w:rsidRPr="005125E9">
        <w:rPr>
          <w:bCs/>
          <w:color w:val="000000" w:themeColor="text1"/>
        </w:rPr>
        <w:t>Software</w:t>
      </w:r>
      <w:r w:rsidRPr="005125E9">
        <w:rPr>
          <w:bCs/>
          <w:color w:val="000000" w:themeColor="text1"/>
        </w:rPr>
        <w:t xml:space="preserve"> </w:t>
      </w:r>
      <w:r w:rsidR="003A4361" w:rsidRPr="005125E9">
        <w:rPr>
          <w:bCs/>
          <w:color w:val="000000" w:themeColor="text1"/>
        </w:rPr>
        <w:t>may</w:t>
      </w:r>
      <w:r w:rsidRPr="005125E9">
        <w:rPr>
          <w:bCs/>
          <w:color w:val="000000" w:themeColor="text1"/>
        </w:rPr>
        <w:t xml:space="preserve"> </w:t>
      </w:r>
      <w:r w:rsidR="00D9475F" w:rsidRPr="005125E9">
        <w:rPr>
          <w:bCs/>
          <w:color w:val="000000" w:themeColor="text1"/>
        </w:rPr>
        <w:t xml:space="preserve">be </w:t>
      </w:r>
      <w:r w:rsidRPr="005125E9">
        <w:rPr>
          <w:bCs/>
          <w:color w:val="000000" w:themeColor="text1"/>
        </w:rPr>
        <w:t>used in this course</w:t>
      </w:r>
      <w:r w:rsidR="009D01B8" w:rsidRPr="005125E9">
        <w:rPr>
          <w:bCs/>
          <w:color w:val="000000" w:themeColor="text1"/>
        </w:rPr>
        <w:t xml:space="preserve">, and </w:t>
      </w:r>
    </w:p>
    <w:p w14:paraId="3CA7FFA5" w14:textId="4216F162" w:rsidR="003A4361" w:rsidRPr="003A4361" w:rsidRDefault="009D01B8" w:rsidP="003A4361">
      <w:pPr>
        <w:spacing w:after="120"/>
        <w:rPr>
          <w:bCs/>
          <w:color w:val="000000" w:themeColor="text1"/>
        </w:rPr>
      </w:pPr>
      <w:r>
        <w:rPr>
          <w:bCs/>
          <w:color w:val="000000" w:themeColor="text1"/>
        </w:rPr>
        <w:t>t</w:t>
      </w:r>
      <w:r w:rsidR="003A4361" w:rsidRPr="003A4361">
        <w:rPr>
          <w:bCs/>
          <w:color w:val="000000" w:themeColor="text1"/>
        </w:rPr>
        <w:t xml:space="preserve">ests and examinations in this course will be conducted using a remote proctoring service. </w:t>
      </w:r>
      <w:r w:rsidR="009C1E92">
        <w:rPr>
          <w:bCs/>
          <w:color w:val="000000" w:themeColor="text1"/>
        </w:rPr>
        <w:t xml:space="preserve"> </w:t>
      </w:r>
      <w:r w:rsidR="003A4361" w:rsidRPr="003A4361">
        <w:rPr>
          <w:bCs/>
          <w:color w:val="000000" w:themeColor="text1"/>
        </w:rPr>
        <w:t>By taking this course, you are consenting to the use of this software and acknowledge that you will be required to provide </w:t>
      </w:r>
      <w:r w:rsidR="003A4361" w:rsidRPr="003A4361">
        <w:rPr>
          <w:b/>
          <w:bCs/>
          <w:color w:val="000000" w:themeColor="text1"/>
        </w:rPr>
        <w:t>personal information</w:t>
      </w:r>
      <w:r w:rsidR="003A4361" w:rsidRPr="003A4361">
        <w:rPr>
          <w:bCs/>
          <w:color w:val="000000" w:themeColor="text1"/>
        </w:rPr>
        <w:t> (including some biometric data) and the session will be </w:t>
      </w:r>
      <w:r w:rsidR="003A4361" w:rsidRPr="003A4361">
        <w:rPr>
          <w:b/>
          <w:bCs/>
          <w:color w:val="000000" w:themeColor="text1"/>
        </w:rPr>
        <w:t>recorded</w:t>
      </w:r>
      <w:r w:rsidR="003A4361" w:rsidRPr="003A4361">
        <w:rPr>
          <w:bCs/>
          <w:color w:val="000000" w:themeColor="text1"/>
        </w:rPr>
        <w:t>.</w:t>
      </w:r>
      <w:r w:rsidR="009C1E92">
        <w:rPr>
          <w:bCs/>
          <w:color w:val="000000" w:themeColor="text1"/>
        </w:rPr>
        <w:t xml:space="preserve">  </w:t>
      </w:r>
      <w:r w:rsidR="003A4361" w:rsidRPr="003A4361">
        <w:rPr>
          <w:bCs/>
          <w:color w:val="000000" w:themeColor="text1"/>
        </w:rPr>
        <w:t xml:space="preserve">Completion of this course will require you to have a reliable internet connection and a device that meets the technical requirements for this service. </w:t>
      </w:r>
      <w:r w:rsidR="009C1E92">
        <w:rPr>
          <w:bCs/>
          <w:color w:val="000000" w:themeColor="text1"/>
        </w:rPr>
        <w:t xml:space="preserve"> </w:t>
      </w:r>
      <w:r w:rsidR="003A4361" w:rsidRPr="003A4361">
        <w:rPr>
          <w:bCs/>
          <w:color w:val="000000" w:themeColor="text1"/>
        </w:rPr>
        <w:t>More information about this remote proctoring service, including technical requirements, is available on Western’s Remote Proctoring website at:</w:t>
      </w:r>
    </w:p>
    <w:p w14:paraId="14073104" w14:textId="678363B6" w:rsidR="003A4361" w:rsidRPr="00266229" w:rsidRDefault="003A4361" w:rsidP="003A4361">
      <w:pPr>
        <w:ind w:left="360"/>
        <w:rPr>
          <w:bCs/>
          <w:color w:val="000000" w:themeColor="text1"/>
        </w:rPr>
      </w:pPr>
      <w:hyperlink r:id="rId20" w:history="1">
        <w:r w:rsidRPr="00B52429">
          <w:rPr>
            <w:rStyle w:val="Hyperlink"/>
            <w:bCs/>
          </w:rPr>
          <w:t>https://remoteproctoring.uwo.ca</w:t>
        </w:r>
      </w:hyperlink>
      <w:r w:rsidRPr="00266229">
        <w:rPr>
          <w:bCs/>
          <w:color w:val="000000" w:themeColor="text1"/>
        </w:rPr>
        <w:t>.</w:t>
      </w:r>
    </w:p>
    <w:p w14:paraId="76729009" w14:textId="77777777" w:rsidR="006363A4" w:rsidRDefault="006363A4" w:rsidP="003C6E2C">
      <w:pPr>
        <w:rPr>
          <w:b/>
          <w:bCs/>
          <w:color w:val="FF0000"/>
        </w:rPr>
      </w:pPr>
    </w:p>
    <w:p w14:paraId="77E151E2" w14:textId="77777777" w:rsidR="0018608B" w:rsidRPr="003C6E2C" w:rsidRDefault="0018608B" w:rsidP="003C6E2C"/>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408DB9B6"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21"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22"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6EA1E75C"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3"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1030F4FD"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2B5BDE69" w14:textId="77777777" w:rsidR="0051421C" w:rsidRDefault="004F11B9" w:rsidP="0051421C">
      <w:pPr>
        <w:spacing w:after="120"/>
        <w:ind w:left="360"/>
        <w:rPr>
          <w:color w:val="0000FF"/>
        </w:rPr>
      </w:pPr>
      <w:hyperlink r:id="rId24" w:history="1">
        <w:r w:rsidRPr="00DE03EB">
          <w:rPr>
            <w:rStyle w:val="Hyperlink"/>
          </w:rPr>
          <w:t>http://academicsupport.uwo.ca/accessible_education/index.html</w:t>
        </w:r>
      </w:hyperlink>
    </w:p>
    <w:p w14:paraId="526E68E9" w14:textId="77777777" w:rsidR="009D01B8" w:rsidRDefault="009D01B8" w:rsidP="0051421C">
      <w:pPr>
        <w:spacing w:after="120"/>
        <w:rPr>
          <w:color w:val="FF0000"/>
        </w:rPr>
      </w:pPr>
    </w:p>
    <w:p w14:paraId="25CF6DAC" w14:textId="37304907" w:rsidR="00E170A0" w:rsidRPr="0051421C" w:rsidRDefault="00E170A0" w:rsidP="0051421C">
      <w:pPr>
        <w:spacing w:after="120"/>
        <w:rPr>
          <w:color w:val="0000FF"/>
        </w:rPr>
      </w:pPr>
      <w:r w:rsidRPr="003C6E2C">
        <w:t xml:space="preserve">Learning-skills counsellors at </w:t>
      </w:r>
      <w:r w:rsidR="00E40E2C">
        <w:t>Learning Development and Success</w:t>
      </w:r>
      <w:r w:rsidRPr="003C6E2C">
        <w:t xml:space="preserve"> (</w:t>
      </w:r>
      <w:hyperlink r:id="rId25" w:history="1">
        <w:r w:rsidR="00A411D6"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13752006"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26" w:history="1">
        <w:r w:rsidRPr="00D96881">
          <w:rPr>
            <w:rStyle w:val="Hyperlink"/>
          </w:rPr>
          <w:t>https://www.uwo.ca/se/digital/</w:t>
        </w:r>
      </w:hyperlink>
      <w:r>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7" w:history="1">
        <w:r w:rsidR="0044775F" w:rsidRPr="0044775F">
          <w:rPr>
            <w:rStyle w:val="Hyperlink"/>
            <w:lang w:val="en-US"/>
          </w:rPr>
          <w:t>https://westernusc.ca/services/</w:t>
        </w:r>
      </w:hyperlink>
      <w:r w:rsidRPr="00C72B92">
        <w:rPr>
          <w:color w:val="000000" w:themeColor="text1"/>
        </w:rPr>
        <w:t>.</w:t>
      </w:r>
    </w:p>
    <w:p w14:paraId="03F2C554" w14:textId="77777777" w:rsidR="003C54B8" w:rsidRDefault="003C54B8"/>
    <w:p w14:paraId="2BEA88B5" w14:textId="0C9B8D8B" w:rsidR="005953FA" w:rsidRPr="00121B8A" w:rsidRDefault="005953FA">
      <w:pPr>
        <w:rPr>
          <w:color w:val="FF0000"/>
        </w:rPr>
      </w:pPr>
    </w:p>
    <w:sectPr w:rsidR="005953FA" w:rsidRPr="00121B8A"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 w:numId="4" w16cid:durableId="1437095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7A96"/>
    <w:rsid w:val="000301D0"/>
    <w:rsid w:val="000411FB"/>
    <w:rsid w:val="0005651E"/>
    <w:rsid w:val="00056864"/>
    <w:rsid w:val="00060716"/>
    <w:rsid w:val="00063B29"/>
    <w:rsid w:val="000776C9"/>
    <w:rsid w:val="00081B36"/>
    <w:rsid w:val="00083DAF"/>
    <w:rsid w:val="000908FC"/>
    <w:rsid w:val="0009148F"/>
    <w:rsid w:val="00093243"/>
    <w:rsid w:val="00093D84"/>
    <w:rsid w:val="000A1F30"/>
    <w:rsid w:val="000C6706"/>
    <w:rsid w:val="000D2A40"/>
    <w:rsid w:val="000D3A67"/>
    <w:rsid w:val="000E4BA4"/>
    <w:rsid w:val="000F7094"/>
    <w:rsid w:val="00102B7B"/>
    <w:rsid w:val="00102C67"/>
    <w:rsid w:val="00103931"/>
    <w:rsid w:val="00107FF8"/>
    <w:rsid w:val="00121B8A"/>
    <w:rsid w:val="0012549B"/>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53E2"/>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611F"/>
    <w:rsid w:val="002B7A9E"/>
    <w:rsid w:val="002B7D47"/>
    <w:rsid w:val="002C3423"/>
    <w:rsid w:val="002D2EFB"/>
    <w:rsid w:val="002D5CA5"/>
    <w:rsid w:val="002F6F57"/>
    <w:rsid w:val="00301AB9"/>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84666"/>
    <w:rsid w:val="0038747F"/>
    <w:rsid w:val="003935C8"/>
    <w:rsid w:val="003A1E08"/>
    <w:rsid w:val="003A4361"/>
    <w:rsid w:val="003B25F7"/>
    <w:rsid w:val="003B4E1B"/>
    <w:rsid w:val="003C54B8"/>
    <w:rsid w:val="003C6E2C"/>
    <w:rsid w:val="003D29E7"/>
    <w:rsid w:val="003D4C2D"/>
    <w:rsid w:val="003E0231"/>
    <w:rsid w:val="003E333C"/>
    <w:rsid w:val="003F0C6D"/>
    <w:rsid w:val="00403821"/>
    <w:rsid w:val="00403CC2"/>
    <w:rsid w:val="00405E8C"/>
    <w:rsid w:val="00407E39"/>
    <w:rsid w:val="00430AEB"/>
    <w:rsid w:val="00430CBF"/>
    <w:rsid w:val="004349F5"/>
    <w:rsid w:val="004365CA"/>
    <w:rsid w:val="0043694A"/>
    <w:rsid w:val="0044775F"/>
    <w:rsid w:val="00455123"/>
    <w:rsid w:val="00470F3D"/>
    <w:rsid w:val="00475F65"/>
    <w:rsid w:val="00485550"/>
    <w:rsid w:val="0048727B"/>
    <w:rsid w:val="00492AFE"/>
    <w:rsid w:val="004A0E85"/>
    <w:rsid w:val="004A36A7"/>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125E9"/>
    <w:rsid w:val="0051421C"/>
    <w:rsid w:val="005230E5"/>
    <w:rsid w:val="00525BF1"/>
    <w:rsid w:val="00531567"/>
    <w:rsid w:val="00534549"/>
    <w:rsid w:val="00541B1F"/>
    <w:rsid w:val="00542843"/>
    <w:rsid w:val="00544B45"/>
    <w:rsid w:val="00545F6F"/>
    <w:rsid w:val="00556ECC"/>
    <w:rsid w:val="0056647E"/>
    <w:rsid w:val="005773FF"/>
    <w:rsid w:val="00587074"/>
    <w:rsid w:val="00590A97"/>
    <w:rsid w:val="005953FA"/>
    <w:rsid w:val="00597639"/>
    <w:rsid w:val="00597938"/>
    <w:rsid w:val="005A4D65"/>
    <w:rsid w:val="005C1FF2"/>
    <w:rsid w:val="005D517E"/>
    <w:rsid w:val="005D51D6"/>
    <w:rsid w:val="005D5D82"/>
    <w:rsid w:val="005F122C"/>
    <w:rsid w:val="005F1956"/>
    <w:rsid w:val="00602582"/>
    <w:rsid w:val="00602718"/>
    <w:rsid w:val="006054F8"/>
    <w:rsid w:val="00610064"/>
    <w:rsid w:val="0062588C"/>
    <w:rsid w:val="006363A4"/>
    <w:rsid w:val="00637E77"/>
    <w:rsid w:val="006471DA"/>
    <w:rsid w:val="00657692"/>
    <w:rsid w:val="00671F1B"/>
    <w:rsid w:val="00681697"/>
    <w:rsid w:val="006861F6"/>
    <w:rsid w:val="006A17AD"/>
    <w:rsid w:val="006A4040"/>
    <w:rsid w:val="006B208E"/>
    <w:rsid w:val="006B60A1"/>
    <w:rsid w:val="006D2876"/>
    <w:rsid w:val="006D28B8"/>
    <w:rsid w:val="006E2716"/>
    <w:rsid w:val="006E33A7"/>
    <w:rsid w:val="006E4F11"/>
    <w:rsid w:val="006F2006"/>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228D5"/>
    <w:rsid w:val="008273D0"/>
    <w:rsid w:val="008301BF"/>
    <w:rsid w:val="0083099C"/>
    <w:rsid w:val="008331E2"/>
    <w:rsid w:val="00845B86"/>
    <w:rsid w:val="00852477"/>
    <w:rsid w:val="00856E2B"/>
    <w:rsid w:val="0086315A"/>
    <w:rsid w:val="0086594E"/>
    <w:rsid w:val="00867AFD"/>
    <w:rsid w:val="008720B1"/>
    <w:rsid w:val="00873BD0"/>
    <w:rsid w:val="00886A2D"/>
    <w:rsid w:val="008A0453"/>
    <w:rsid w:val="008A2AAA"/>
    <w:rsid w:val="008A3113"/>
    <w:rsid w:val="008A3BC7"/>
    <w:rsid w:val="008A6FE9"/>
    <w:rsid w:val="008C038D"/>
    <w:rsid w:val="008C163A"/>
    <w:rsid w:val="008D36EC"/>
    <w:rsid w:val="008D53F6"/>
    <w:rsid w:val="008E37F3"/>
    <w:rsid w:val="008E4055"/>
    <w:rsid w:val="008F4182"/>
    <w:rsid w:val="00903DC5"/>
    <w:rsid w:val="009051E3"/>
    <w:rsid w:val="009160A7"/>
    <w:rsid w:val="00920424"/>
    <w:rsid w:val="00923DE7"/>
    <w:rsid w:val="009261E5"/>
    <w:rsid w:val="00931DCF"/>
    <w:rsid w:val="009410F8"/>
    <w:rsid w:val="00966DA2"/>
    <w:rsid w:val="00966F69"/>
    <w:rsid w:val="009761AD"/>
    <w:rsid w:val="00980096"/>
    <w:rsid w:val="009841DC"/>
    <w:rsid w:val="009926DB"/>
    <w:rsid w:val="009A1E1C"/>
    <w:rsid w:val="009A1ECF"/>
    <w:rsid w:val="009A4474"/>
    <w:rsid w:val="009C1E92"/>
    <w:rsid w:val="009C7507"/>
    <w:rsid w:val="009D01B8"/>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53992"/>
    <w:rsid w:val="00A53DA7"/>
    <w:rsid w:val="00A56D9A"/>
    <w:rsid w:val="00A611D5"/>
    <w:rsid w:val="00A72780"/>
    <w:rsid w:val="00A83929"/>
    <w:rsid w:val="00A84D9F"/>
    <w:rsid w:val="00A84E86"/>
    <w:rsid w:val="00A915C7"/>
    <w:rsid w:val="00A9170C"/>
    <w:rsid w:val="00A92B9B"/>
    <w:rsid w:val="00A93A92"/>
    <w:rsid w:val="00AA4030"/>
    <w:rsid w:val="00AA5E12"/>
    <w:rsid w:val="00AB4945"/>
    <w:rsid w:val="00AC24C1"/>
    <w:rsid w:val="00AC7C0C"/>
    <w:rsid w:val="00AD70A6"/>
    <w:rsid w:val="00AE213B"/>
    <w:rsid w:val="00AF03C1"/>
    <w:rsid w:val="00AF1222"/>
    <w:rsid w:val="00AF5B18"/>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2076"/>
    <w:rsid w:val="00B66E0A"/>
    <w:rsid w:val="00B70819"/>
    <w:rsid w:val="00B725A6"/>
    <w:rsid w:val="00B82F2C"/>
    <w:rsid w:val="00B95F22"/>
    <w:rsid w:val="00B96E71"/>
    <w:rsid w:val="00BB3577"/>
    <w:rsid w:val="00BB6018"/>
    <w:rsid w:val="00BC7F92"/>
    <w:rsid w:val="00BD1C26"/>
    <w:rsid w:val="00BE1304"/>
    <w:rsid w:val="00BE6D96"/>
    <w:rsid w:val="00C169FF"/>
    <w:rsid w:val="00C22C65"/>
    <w:rsid w:val="00C25D9E"/>
    <w:rsid w:val="00C4015E"/>
    <w:rsid w:val="00C41206"/>
    <w:rsid w:val="00C5116C"/>
    <w:rsid w:val="00C5190A"/>
    <w:rsid w:val="00C53B15"/>
    <w:rsid w:val="00C6222B"/>
    <w:rsid w:val="00C62B7E"/>
    <w:rsid w:val="00C70D02"/>
    <w:rsid w:val="00C72B92"/>
    <w:rsid w:val="00C74C22"/>
    <w:rsid w:val="00C75FB1"/>
    <w:rsid w:val="00C77F41"/>
    <w:rsid w:val="00C85245"/>
    <w:rsid w:val="00CA2D6B"/>
    <w:rsid w:val="00CA408D"/>
    <w:rsid w:val="00CA72C2"/>
    <w:rsid w:val="00CA7E7D"/>
    <w:rsid w:val="00CB0477"/>
    <w:rsid w:val="00CB20A0"/>
    <w:rsid w:val="00CC504E"/>
    <w:rsid w:val="00CC50A5"/>
    <w:rsid w:val="00CD59A9"/>
    <w:rsid w:val="00CE3E7F"/>
    <w:rsid w:val="00CE5534"/>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74EE"/>
    <w:rsid w:val="00D7028B"/>
    <w:rsid w:val="00D9475F"/>
    <w:rsid w:val="00D96881"/>
    <w:rsid w:val="00DA1AF5"/>
    <w:rsid w:val="00DB4423"/>
    <w:rsid w:val="00DC3806"/>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6903"/>
    <w:rsid w:val="00E47206"/>
    <w:rsid w:val="00E51661"/>
    <w:rsid w:val="00E541E0"/>
    <w:rsid w:val="00E54959"/>
    <w:rsid w:val="00E563ED"/>
    <w:rsid w:val="00E60EFF"/>
    <w:rsid w:val="00E65023"/>
    <w:rsid w:val="00E6583A"/>
    <w:rsid w:val="00E73DBD"/>
    <w:rsid w:val="00E747BB"/>
    <w:rsid w:val="00E84519"/>
    <w:rsid w:val="00E84F2E"/>
    <w:rsid w:val="00E85AA5"/>
    <w:rsid w:val="00E925CE"/>
    <w:rsid w:val="00EA5868"/>
    <w:rsid w:val="00EA7C54"/>
    <w:rsid w:val="00EB0085"/>
    <w:rsid w:val="00EB6248"/>
    <w:rsid w:val="00EB6FC6"/>
    <w:rsid w:val="00EC4A59"/>
    <w:rsid w:val="00EC4DCD"/>
    <w:rsid w:val="00EC6474"/>
    <w:rsid w:val="00EE69FD"/>
    <w:rsid w:val="00EF71E0"/>
    <w:rsid w:val="00F0406E"/>
    <w:rsid w:val="00F102FE"/>
    <w:rsid w:val="00F14154"/>
    <w:rsid w:val="00F16FC9"/>
    <w:rsid w:val="00F234F0"/>
    <w:rsid w:val="00F252C4"/>
    <w:rsid w:val="00F2758A"/>
    <w:rsid w:val="00F4318B"/>
    <w:rsid w:val="00F507D9"/>
    <w:rsid w:val="00F65817"/>
    <w:rsid w:val="00F735AF"/>
    <w:rsid w:val="00F779A9"/>
    <w:rsid w:val="00F77C85"/>
    <w:rsid w:val="00F84EB9"/>
    <w:rsid w:val="00F9393F"/>
    <w:rsid w:val="00F97D01"/>
    <w:rsid w:val="00F97EAD"/>
    <w:rsid w:val="00FA2D05"/>
    <w:rsid w:val="00FA3796"/>
    <w:rsid w:val="00FA3C36"/>
    <w:rsid w:val="00FA69F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support.uwo.ca/accessible_education/" TargetMode="External"/><Relationship Id="rId13" Type="http://schemas.openxmlformats.org/officeDocument/2006/relationships/hyperlink" Target="https://www.registrar.uwo.ca/" TargetMode="External"/><Relationship Id="rId18" Type="http://schemas.openxmlformats.org/officeDocument/2006/relationships/hyperlink" Target="https://uwo.ca/univsec//pdf/academic_policies/appeals/scholastic_offences.pdf" TargetMode="External"/><Relationship Id="rId26" Type="http://schemas.openxmlformats.org/officeDocument/2006/relationships/hyperlink" Target="https://www.uwo.ca/se/digital/" TargetMode="External"/><Relationship Id="rId3" Type="http://schemas.openxmlformats.org/officeDocument/2006/relationships/settings" Target="settings.xml"/><Relationship Id="rId21" Type="http://schemas.openxmlformats.org/officeDocument/2006/relationships/hyperlink" Target="https://www.uwo.ca/sci/counselling/" TargetMode="External"/><Relationship Id="rId7" Type="http://schemas.openxmlformats.org/officeDocument/2006/relationships/hyperlink" Target="https://www.uwo.ca/univsec/pdf/academic_policies/appeals/academic_consideration_Sep24.pdf" TargetMode="External"/><Relationship Id="rId12" Type="http://schemas.openxmlformats.org/officeDocument/2006/relationships/hyperlink" Target="https://www.uwo.ca/univsec/pdf/academic_policies/appeals/Academic%20Accommodation_disabilities.pdf" TargetMode="External"/><Relationship Id="rId17" Type="http://schemas.openxmlformats.org/officeDocument/2006/relationships/hyperlink" Target="https://uwo.ca/univsec//pdf/academic_policies/appeals/graduate_requests_for_relief_procedure.pdf" TargetMode="External"/><Relationship Id="rId25" Type="http://schemas.openxmlformats.org/officeDocument/2006/relationships/hyperlink" Target="https://learning.uwo.ca/" TargetMode="External"/><Relationship Id="rId2" Type="http://schemas.openxmlformats.org/officeDocument/2006/relationships/styles" Target="styles.xml"/><Relationship Id="rId16" Type="http://schemas.openxmlformats.org/officeDocument/2006/relationships/hyperlink" Target="https://uwo.ca/univsec//pdf/academic_policies/appeals/undergrad_requests_for_relief_procedure.pdf" TargetMode="External"/><Relationship Id="rId20" Type="http://schemas.openxmlformats.org/officeDocument/2006/relationships/hyperlink" Target="https://remoteproctoring.uwo.c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rightspacehelp.uwo.ca/" TargetMode="External"/><Relationship Id="rId11" Type="http://schemas.openxmlformats.org/officeDocument/2006/relationships/hyperlink" Target="https://www.edi.uwo.ca" TargetMode="External"/><Relationship Id="rId24" Type="http://schemas.openxmlformats.org/officeDocument/2006/relationships/hyperlink" Target="http://academicsupport.uwo.ca/accessible_education/index.html" TargetMode="External"/><Relationship Id="rId5" Type="http://schemas.openxmlformats.org/officeDocument/2006/relationships/image" Target="media/image1.png"/><Relationship Id="rId15" Type="http://schemas.openxmlformats.org/officeDocument/2006/relationships/hyperlink" Target="https://uwo.ca/univsec//pdf/academic_policies/appeals/requests_for_relief_from_academic_decisions.pdf" TargetMode="External"/><Relationship Id="rId23" Type="http://schemas.openxmlformats.org/officeDocument/2006/relationships/hyperlink" Target="https://www.uwo.ca/health/student_support/survivor_support/get-help.html" TargetMode="External"/><Relationship Id="rId28" Type="http://schemas.openxmlformats.org/officeDocument/2006/relationships/fontTable" Target="fontTable.xml"/><Relationship Id="rId10" Type="http://schemas.openxmlformats.org/officeDocument/2006/relationships/hyperlink" Target="https://www.westerncalendar.uwo.ca/PolicyPages.cfm?Command=showCategory&amp;PolicyCategoryID=5&amp;SelectedCalendar=Live&amp;ArchiveID=" TargetMode="External"/><Relationship Id="rId19" Type="http://schemas.openxmlformats.org/officeDocument/2006/relationships/hyperlink" Target="https://uwo.ca/univsec//pdf/academic_policies/appeals/undergrad_scholastic_offence_procedure.pdf" TargetMode="External"/><Relationship Id="rId4" Type="http://schemas.openxmlformats.org/officeDocument/2006/relationships/webSettings" Target="webSettings.xml"/><Relationship Id="rId9" Type="http://schemas.openxmlformats.org/officeDocument/2006/relationships/hyperlink" Target="https://registrar.uwo.ca/academics/academic_considerations/" TargetMode="External"/><Relationship Id="rId14" Type="http://schemas.openxmlformats.org/officeDocument/2006/relationships/hyperlink" Target="https://www.uwo.ca/univsec/pdf/policies_procedures/section1/mapp113.pdf" TargetMode="External"/><Relationship Id="rId22" Type="http://schemas.openxmlformats.org/officeDocument/2006/relationships/hyperlink" Target="https://uwo.ca/health/" TargetMode="External"/><Relationship Id="rId27" Type="http://schemas.openxmlformats.org/officeDocument/2006/relationships/hyperlink" Target="https://westernusc.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7</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Aji Dhillon</cp:lastModifiedBy>
  <cp:revision>51</cp:revision>
  <dcterms:created xsi:type="dcterms:W3CDTF">2024-11-27T13:09:00Z</dcterms:created>
  <dcterms:modified xsi:type="dcterms:W3CDTF">2025-08-29T03:51:00Z</dcterms:modified>
</cp:coreProperties>
</file>