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DD20A" w14:textId="77777777" w:rsidR="002B7103" w:rsidRDefault="00CD40B8">
      <w:pPr>
        <w:ind w:right="6"/>
        <w:jc w:val="right"/>
        <w:rPr>
          <w:rFonts w:ascii="Avenir" w:hAnsi="Avenir" w:cs="Calibri"/>
          <w:b/>
          <w:bCs/>
          <w:color w:val="4F2683"/>
          <w:sz w:val="22"/>
          <w:szCs w:val="22"/>
        </w:rPr>
      </w:pPr>
      <w:r>
        <w:rPr>
          <w:noProof/>
        </w:rPr>
        <w:drawing>
          <wp:anchor distT="0" distB="0" distL="0" distR="0" simplePos="0" relativeHeight="2" behindDoc="1" locked="0" layoutInCell="1" allowOverlap="1" wp14:anchorId="11ADD2C5" wp14:editId="11ADD2C6">
            <wp:simplePos x="0" y="0"/>
            <wp:positionH relativeFrom="column">
              <wp:posOffset>-99695</wp:posOffset>
            </wp:positionH>
            <wp:positionV relativeFrom="paragraph">
              <wp:posOffset>-175895</wp:posOffset>
            </wp:positionV>
            <wp:extent cx="1564640" cy="499745"/>
            <wp:effectExtent l="0" t="0" r="0" b="0"/>
            <wp:wrapNone/>
            <wp:docPr id="1"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var/folders/8p/r6vl783d6qg828r38lvg32ch0000gn/T/com.microsoft.Word/WebArchiveCopyPasteTempFiles/Sci_Stacked_PurpleGrey.png"/>
                    <pic:cNvPicPr>
                      <a:picLocks noChangeAspect="1" noChangeArrowheads="1"/>
                    </pic:cNvPicPr>
                  </pic:nvPicPr>
                  <pic:blipFill>
                    <a:blip r:embed="rId5"/>
                    <a:stretch>
                      <a:fillRect/>
                    </a:stretch>
                  </pic:blipFill>
                  <pic:spPr bwMode="auto">
                    <a:xfrm>
                      <a:off x="0" y="0"/>
                      <a:ext cx="1564640" cy="499745"/>
                    </a:xfrm>
                    <a:prstGeom prst="rect">
                      <a:avLst/>
                    </a:prstGeom>
                  </pic:spPr>
                </pic:pic>
              </a:graphicData>
            </a:graphic>
          </wp:anchor>
        </w:drawing>
      </w:r>
      <w:r>
        <w:rPr>
          <w:rFonts w:ascii="Avenir" w:hAnsi="Avenir" w:cs="Calibri"/>
          <w:b/>
          <w:bCs/>
          <w:color w:val="4F2683"/>
          <w:sz w:val="22"/>
          <w:szCs w:val="22"/>
        </w:rPr>
        <w:t xml:space="preserve">Department of </w:t>
      </w:r>
      <w:r>
        <w:rPr>
          <w:rFonts w:ascii="Avenir" w:hAnsi="Avenir" w:cs="Calibri"/>
          <w:b/>
          <w:bCs/>
          <w:color w:val="000000" w:themeColor="text1"/>
          <w:sz w:val="22"/>
          <w:szCs w:val="22"/>
        </w:rPr>
        <w:t>Mathematics</w:t>
      </w:r>
    </w:p>
    <w:p w14:paraId="11ADD20B" w14:textId="77777777" w:rsidR="002B7103" w:rsidRDefault="002B7103">
      <w:pPr>
        <w:rPr>
          <w:b/>
          <w:bCs/>
        </w:rPr>
      </w:pPr>
    </w:p>
    <w:p w14:paraId="11ADD20C" w14:textId="77777777" w:rsidR="002B7103" w:rsidRDefault="002B7103">
      <w:pPr>
        <w:rPr>
          <w:b/>
          <w:bCs/>
        </w:rPr>
      </w:pPr>
    </w:p>
    <w:p w14:paraId="11ADD20D" w14:textId="77777777" w:rsidR="002B7103" w:rsidRDefault="002B7103">
      <w:pPr>
        <w:rPr>
          <w:bCs/>
        </w:rPr>
      </w:pPr>
    </w:p>
    <w:p w14:paraId="11ADD20E" w14:textId="77777777" w:rsidR="002B7103" w:rsidRDefault="00CD40B8">
      <w:pPr>
        <w:tabs>
          <w:tab w:val="center" w:pos="5040"/>
        </w:tabs>
        <w:rPr>
          <w:b/>
          <w:sz w:val="36"/>
          <w:szCs w:val="36"/>
        </w:rPr>
      </w:pPr>
      <w:r>
        <w:rPr>
          <w:b/>
          <w:sz w:val="36"/>
          <w:szCs w:val="36"/>
        </w:rPr>
        <w:tab/>
      </w:r>
      <w:r>
        <w:rPr>
          <w:b/>
          <w:color w:val="000000" w:themeColor="text1"/>
          <w:sz w:val="36"/>
          <w:szCs w:val="36"/>
        </w:rPr>
        <w:t>Math 3157A</w:t>
      </w:r>
      <w:r>
        <w:rPr>
          <w:b/>
          <w:color w:val="000000" w:themeColor="text1"/>
          <w:sz w:val="36"/>
          <w:szCs w:val="36"/>
        </w:rPr>
        <w:t xml:space="preserve"> </w:t>
      </w:r>
      <w:r>
        <w:rPr>
          <w:b/>
          <w:sz w:val="36"/>
          <w:szCs w:val="36"/>
        </w:rPr>
        <w:t>Course Outline</w:t>
      </w:r>
    </w:p>
    <w:p w14:paraId="11ADD20F" w14:textId="77777777" w:rsidR="002B7103" w:rsidRDefault="002B7103">
      <w:pPr>
        <w:rPr>
          <w:bCs/>
        </w:rPr>
      </w:pPr>
    </w:p>
    <w:p w14:paraId="11ADD210" w14:textId="77777777" w:rsidR="002B7103" w:rsidRDefault="00CD40B8">
      <w:pPr>
        <w:rPr>
          <w:b/>
          <w:bCs/>
          <w:sz w:val="36"/>
          <w:szCs w:val="36"/>
        </w:rPr>
      </w:pPr>
      <w:r>
        <w:rPr>
          <w:b/>
          <w:bCs/>
          <w:sz w:val="36"/>
          <w:szCs w:val="36"/>
        </w:rPr>
        <w:t>1. Course Information</w:t>
      </w:r>
    </w:p>
    <w:p w14:paraId="11ADD211" w14:textId="77777777" w:rsidR="002B7103" w:rsidRDefault="002B7103">
      <w:pPr>
        <w:rPr>
          <w:bCs/>
        </w:rPr>
      </w:pPr>
    </w:p>
    <w:p w14:paraId="11ADD212" w14:textId="77777777" w:rsidR="002B7103" w:rsidRDefault="00CD40B8">
      <w:pPr>
        <w:rPr>
          <w:bCs/>
        </w:rPr>
      </w:pPr>
      <w:r>
        <w:rPr>
          <w:b/>
          <w:bCs/>
        </w:rPr>
        <w:t>Course Information</w:t>
      </w:r>
      <w:r>
        <w:rPr>
          <w:bCs/>
        </w:rPr>
        <w:t xml:space="preserve"> </w:t>
      </w:r>
    </w:p>
    <w:p w14:paraId="11ADD215" w14:textId="37403B68" w:rsidR="002B7103" w:rsidRDefault="00CD40B8">
      <w:r>
        <w:t xml:space="preserve">Math 3157A Introduction to Game Theory, Fall 2025, </w:t>
      </w:r>
    </w:p>
    <w:p w14:paraId="00CECDCF" w14:textId="77777777" w:rsidR="00CD40B8" w:rsidRDefault="00CD40B8">
      <w:pPr>
        <w:rPr>
          <w:bCs/>
        </w:rPr>
      </w:pPr>
    </w:p>
    <w:p w14:paraId="11ADD216" w14:textId="77777777" w:rsidR="002B7103" w:rsidRDefault="00CD40B8">
      <w:pPr>
        <w:rPr>
          <w:bCs/>
          <w:color w:val="FF0000"/>
        </w:rPr>
      </w:pPr>
      <w:r>
        <w:rPr>
          <w:b/>
          <w:bCs/>
        </w:rPr>
        <w:t>List of Prerequisites</w:t>
      </w:r>
    </w:p>
    <w:p w14:paraId="11ADD217" w14:textId="77777777" w:rsidR="002B7103" w:rsidRDefault="00CD40B8">
      <w:pPr>
        <w:rPr>
          <w:bCs/>
          <w:color w:val="007F00"/>
        </w:rPr>
      </w:pPr>
      <w:hyperlink r:id="rId6">
        <w:r>
          <w:rPr>
            <w:rStyle w:val="Hyperlink"/>
          </w:rPr>
          <w:t>Mathematics 1600A/B</w:t>
        </w:r>
      </w:hyperlink>
      <w:r>
        <w:t xml:space="preserve"> or </w:t>
      </w:r>
      <w:hyperlink r:id="rId7">
        <w:r>
          <w:rPr>
            <w:rStyle w:val="Hyperlink"/>
          </w:rPr>
          <w:t>Mathematics 1700A/B,</w:t>
        </w:r>
      </w:hyperlink>
      <w:r>
        <w:t xml:space="preserve"> </w:t>
      </w:r>
      <w:hyperlink r:id="rId8">
        <w:r>
          <w:rPr>
            <w:rStyle w:val="Hyperlink"/>
          </w:rPr>
          <w:t>Calculus 1301A/B</w:t>
        </w:r>
      </w:hyperlink>
      <w:r>
        <w:t xml:space="preserve"> or </w:t>
      </w:r>
      <w:hyperlink r:id="rId9">
        <w:r>
          <w:rPr>
            <w:rStyle w:val="Hyperlink"/>
          </w:rPr>
          <w:t>Calculus 1501A/B,</w:t>
        </w:r>
      </w:hyperlink>
      <w:r>
        <w:t xml:space="preserve"> and one of </w:t>
      </w:r>
      <w:hyperlink r:id="rId10">
        <w:r>
          <w:rPr>
            <w:rStyle w:val="Hyperlink"/>
          </w:rPr>
          <w:t>Mathematics 1120A/B,</w:t>
        </w:r>
      </w:hyperlink>
      <w:r>
        <w:t xml:space="preserve"> </w:t>
      </w:r>
      <w:hyperlink r:id="rId11">
        <w:r>
          <w:rPr>
            <w:rStyle w:val="Hyperlink"/>
          </w:rPr>
          <w:t>Mathematics 2122A/B,</w:t>
        </w:r>
      </w:hyperlink>
      <w:r>
        <w:t xml:space="preserve"> </w:t>
      </w:r>
      <w:hyperlink r:id="rId12">
        <w:r>
          <w:rPr>
            <w:rStyle w:val="Hyperlink"/>
          </w:rPr>
          <w:t>Mathematics 2124A/B,</w:t>
        </w:r>
      </w:hyperlink>
      <w:r>
        <w:t xml:space="preserve"> </w:t>
      </w:r>
      <w:hyperlink r:id="rId13">
        <w:r>
          <w:rPr>
            <w:rStyle w:val="Hyperlink"/>
          </w:rPr>
          <w:t>Mathematics 2155F/G,</w:t>
        </w:r>
      </w:hyperlink>
      <w:r>
        <w:t xml:space="preserve"> </w:t>
      </w:r>
      <w:hyperlink r:id="rId14">
        <w:r>
          <w:rPr>
            <w:rStyle w:val="Hyperlink"/>
          </w:rPr>
          <w:t>Mathematics 2700A/B,</w:t>
        </w:r>
      </w:hyperlink>
      <w:r>
        <w:t xml:space="preserve"> the former Mathematics 2120A/B.</w:t>
      </w:r>
    </w:p>
    <w:p w14:paraId="11ADD218" w14:textId="77777777" w:rsidR="002B7103" w:rsidRDefault="002B7103">
      <w:pPr>
        <w:rPr>
          <w:bCs/>
        </w:rPr>
      </w:pPr>
    </w:p>
    <w:p w14:paraId="11ADD219" w14:textId="77777777" w:rsidR="002B7103" w:rsidRDefault="002B7103">
      <w:pPr>
        <w:rPr>
          <w:bCs/>
        </w:rPr>
      </w:pPr>
    </w:p>
    <w:p w14:paraId="11ADD21A" w14:textId="77777777" w:rsidR="002B7103" w:rsidRDefault="00CD40B8">
      <w:pPr>
        <w:rPr>
          <w:bCs/>
        </w:rPr>
      </w:pPr>
      <w:r>
        <w:rPr>
          <w:bCs/>
        </w:rPr>
        <w:t xml:space="preserve">Unless you have either the prerequisites for this course or written special permission from the </w:t>
      </w:r>
      <w:r>
        <w:t xml:space="preserve">Department of </w:t>
      </w:r>
      <w:r>
        <w:t>Mathematics</w:t>
      </w:r>
      <w:r>
        <w:t xml:space="preserve"> to enroll in it, you may be removed and withdrawn from this course in </w:t>
      </w:r>
      <w:r>
        <w:rPr>
          <w:bCs/>
        </w:rPr>
        <w:t>accordance with university policy. This may be done after the add/drop deadline of the academic term, and the course will be marked as withdrawn (WDN) on your academic record. This decision may not be appealed.</w:t>
      </w:r>
    </w:p>
    <w:p w14:paraId="11ADD21B" w14:textId="77777777" w:rsidR="002B7103" w:rsidRDefault="002B7103">
      <w:pPr>
        <w:rPr>
          <w:bCs/>
        </w:rPr>
      </w:pPr>
    </w:p>
    <w:p w14:paraId="11ADD21C" w14:textId="77777777" w:rsidR="002B7103" w:rsidRDefault="002B7103">
      <w:pPr>
        <w:rPr>
          <w:b/>
          <w:bCs/>
        </w:rPr>
      </w:pPr>
    </w:p>
    <w:p w14:paraId="11ADD21D" w14:textId="77777777" w:rsidR="002B7103" w:rsidRDefault="00CD40B8">
      <w:pPr>
        <w:rPr>
          <w:b/>
          <w:bCs/>
        </w:rPr>
      </w:pPr>
      <w:r>
        <w:rPr>
          <w:b/>
          <w:bCs/>
          <w:sz w:val="36"/>
          <w:szCs w:val="36"/>
        </w:rPr>
        <w:t>2. Instructor Information</w:t>
      </w:r>
    </w:p>
    <w:p w14:paraId="11ADD21E" w14:textId="77777777" w:rsidR="002B7103" w:rsidRDefault="00CD40B8">
      <w:pPr>
        <w:rPr>
          <w:bCs/>
          <w:color w:val="007F00"/>
        </w:rPr>
      </w:pPr>
      <w:r>
        <w:rPr>
          <w:b/>
          <w:bCs/>
        </w:rPr>
        <w:br/>
      </w:r>
    </w:p>
    <w:tbl>
      <w:tblPr>
        <w:tblW w:w="10147" w:type="dxa"/>
        <w:tblInd w:w="-72" w:type="dxa"/>
        <w:tblLook w:val="04A0" w:firstRow="1" w:lastRow="0" w:firstColumn="1" w:lastColumn="0" w:noHBand="0" w:noVBand="1"/>
      </w:tblPr>
      <w:tblGrid>
        <w:gridCol w:w="3303"/>
        <w:gridCol w:w="2252"/>
        <w:gridCol w:w="1530"/>
        <w:gridCol w:w="1528"/>
        <w:gridCol w:w="1534"/>
      </w:tblGrid>
      <w:tr w:rsidR="002B7103" w14:paraId="11ADD224" w14:textId="77777777">
        <w:trPr>
          <w:trHeight w:val="315"/>
        </w:trPr>
        <w:tc>
          <w:tcPr>
            <w:tcW w:w="3303" w:type="dxa"/>
            <w:tcBorders>
              <w:top w:val="single" w:sz="4" w:space="0" w:color="000000"/>
              <w:left w:val="single" w:sz="4" w:space="0" w:color="000000"/>
              <w:bottom w:val="single" w:sz="4" w:space="0" w:color="000000"/>
              <w:right w:val="single" w:sz="4" w:space="0" w:color="000000"/>
            </w:tcBorders>
            <w:vAlign w:val="center"/>
          </w:tcPr>
          <w:p w14:paraId="11ADD21F" w14:textId="77777777" w:rsidR="002B7103" w:rsidRDefault="00CD40B8">
            <w:pPr>
              <w:rPr>
                <w:rFonts w:cstheme="minorHAnsi"/>
                <w:b/>
                <w:bCs/>
                <w:color w:val="000000"/>
                <w:lang w:eastAsia="en-CA"/>
              </w:rPr>
            </w:pPr>
            <w:r>
              <w:rPr>
                <w:rFonts w:cstheme="minorHAnsi"/>
                <w:b/>
                <w:bCs/>
                <w:color w:val="000000"/>
                <w:lang w:eastAsia="en-CA"/>
              </w:rPr>
              <w:t>Instructors</w:t>
            </w:r>
          </w:p>
        </w:tc>
        <w:tc>
          <w:tcPr>
            <w:tcW w:w="2252" w:type="dxa"/>
            <w:tcBorders>
              <w:top w:val="single" w:sz="4" w:space="0" w:color="000000"/>
              <w:left w:val="single" w:sz="4" w:space="0" w:color="000000"/>
              <w:bottom w:val="single" w:sz="4" w:space="0" w:color="000000"/>
              <w:right w:val="single" w:sz="4" w:space="0" w:color="000000"/>
            </w:tcBorders>
            <w:vAlign w:val="center"/>
          </w:tcPr>
          <w:p w14:paraId="11ADD220" w14:textId="77777777" w:rsidR="002B7103" w:rsidRDefault="00CD40B8">
            <w:pPr>
              <w:rPr>
                <w:rFonts w:cstheme="minorHAnsi"/>
                <w:b/>
                <w:bCs/>
                <w:color w:val="000000"/>
                <w:lang w:eastAsia="en-CA"/>
              </w:rPr>
            </w:pPr>
            <w:r>
              <w:rPr>
                <w:rFonts w:cstheme="minorHAnsi"/>
                <w:b/>
                <w:bCs/>
                <w:color w:val="000000"/>
                <w:lang w:eastAsia="en-CA"/>
              </w:rPr>
              <w:t>Email@uwo.ca</w:t>
            </w:r>
          </w:p>
        </w:tc>
        <w:tc>
          <w:tcPr>
            <w:tcW w:w="1530" w:type="dxa"/>
            <w:tcBorders>
              <w:top w:val="single" w:sz="4" w:space="0" w:color="000000"/>
              <w:left w:val="single" w:sz="4" w:space="0" w:color="000000"/>
              <w:bottom w:val="single" w:sz="4" w:space="0" w:color="000000"/>
              <w:right w:val="single" w:sz="4" w:space="0" w:color="000000"/>
            </w:tcBorders>
            <w:vAlign w:val="center"/>
          </w:tcPr>
          <w:p w14:paraId="11ADD221" w14:textId="77777777" w:rsidR="002B7103" w:rsidRDefault="00CD40B8">
            <w:pPr>
              <w:rPr>
                <w:rFonts w:cstheme="minorHAnsi"/>
                <w:b/>
                <w:bCs/>
                <w:color w:val="000000"/>
                <w:lang w:eastAsia="en-CA"/>
              </w:rPr>
            </w:pPr>
            <w:r>
              <w:rPr>
                <w:rFonts w:cstheme="minorHAnsi"/>
                <w:b/>
                <w:bCs/>
                <w:color w:val="000000"/>
                <w:lang w:eastAsia="en-CA"/>
              </w:rPr>
              <w:t>Office</w:t>
            </w:r>
          </w:p>
        </w:tc>
        <w:tc>
          <w:tcPr>
            <w:tcW w:w="1528" w:type="dxa"/>
            <w:tcBorders>
              <w:top w:val="single" w:sz="4" w:space="0" w:color="000000"/>
              <w:left w:val="single" w:sz="4" w:space="0" w:color="000000"/>
              <w:bottom w:val="single" w:sz="4" w:space="0" w:color="000000"/>
              <w:right w:val="single" w:sz="4" w:space="0" w:color="000000"/>
            </w:tcBorders>
            <w:vAlign w:val="center"/>
          </w:tcPr>
          <w:p w14:paraId="11ADD222" w14:textId="77777777" w:rsidR="002B7103" w:rsidRDefault="00CD40B8">
            <w:pPr>
              <w:rPr>
                <w:rFonts w:cstheme="minorHAnsi"/>
                <w:b/>
                <w:bCs/>
                <w:color w:val="000000"/>
                <w:lang w:eastAsia="en-CA"/>
              </w:rPr>
            </w:pPr>
            <w:r>
              <w:rPr>
                <w:rFonts w:cstheme="minorHAnsi"/>
                <w:b/>
                <w:bCs/>
                <w:color w:val="000000"/>
                <w:lang w:eastAsia="en-CA"/>
              </w:rPr>
              <w:t>Phone</w:t>
            </w:r>
          </w:p>
        </w:tc>
        <w:tc>
          <w:tcPr>
            <w:tcW w:w="1534" w:type="dxa"/>
            <w:tcBorders>
              <w:top w:val="single" w:sz="4" w:space="0" w:color="000000"/>
              <w:left w:val="single" w:sz="4" w:space="0" w:color="000000"/>
              <w:bottom w:val="single" w:sz="4" w:space="0" w:color="000000"/>
              <w:right w:val="single" w:sz="4" w:space="0" w:color="000000"/>
            </w:tcBorders>
            <w:vAlign w:val="center"/>
          </w:tcPr>
          <w:p w14:paraId="11ADD223" w14:textId="77777777" w:rsidR="002B7103" w:rsidRDefault="00CD40B8">
            <w:pPr>
              <w:rPr>
                <w:rFonts w:cstheme="minorHAnsi"/>
                <w:b/>
                <w:bCs/>
                <w:color w:val="000000"/>
                <w:lang w:eastAsia="en-CA"/>
              </w:rPr>
            </w:pPr>
            <w:r>
              <w:rPr>
                <w:rFonts w:cstheme="minorHAnsi"/>
                <w:b/>
                <w:bCs/>
                <w:color w:val="000000"/>
                <w:lang w:eastAsia="en-CA"/>
              </w:rPr>
              <w:t>Office Hours</w:t>
            </w:r>
          </w:p>
        </w:tc>
      </w:tr>
      <w:tr w:rsidR="002B7103" w14:paraId="11ADD22A" w14:textId="77777777">
        <w:trPr>
          <w:trHeight w:val="315"/>
        </w:trPr>
        <w:tc>
          <w:tcPr>
            <w:tcW w:w="3303" w:type="dxa"/>
            <w:tcBorders>
              <w:top w:val="single" w:sz="4" w:space="0" w:color="000000"/>
              <w:left w:val="single" w:sz="4" w:space="0" w:color="000000"/>
              <w:bottom w:val="single" w:sz="4" w:space="0" w:color="000000"/>
              <w:right w:val="single" w:sz="4" w:space="0" w:color="000000"/>
            </w:tcBorders>
            <w:vAlign w:val="bottom"/>
          </w:tcPr>
          <w:p w14:paraId="11ADD225" w14:textId="77777777" w:rsidR="002B7103" w:rsidRDefault="00CD40B8">
            <w:r>
              <w:rPr>
                <w:lang w:eastAsia="en-CA"/>
              </w:rPr>
              <w:t>Prof. Matthias Franz</w:t>
            </w:r>
          </w:p>
        </w:tc>
        <w:tc>
          <w:tcPr>
            <w:tcW w:w="2252" w:type="dxa"/>
            <w:tcBorders>
              <w:top w:val="single" w:sz="4" w:space="0" w:color="000000"/>
              <w:left w:val="single" w:sz="4" w:space="0" w:color="000000"/>
              <w:bottom w:val="single" w:sz="4" w:space="0" w:color="000000"/>
              <w:right w:val="single" w:sz="4" w:space="0" w:color="000000"/>
            </w:tcBorders>
            <w:vAlign w:val="bottom"/>
          </w:tcPr>
          <w:p w14:paraId="11ADD226" w14:textId="77777777" w:rsidR="002B7103" w:rsidRDefault="00CD40B8">
            <w:pPr>
              <w:rPr>
                <w:rFonts w:cstheme="minorHAnsi"/>
                <w:color w:val="000000"/>
                <w:lang w:eastAsia="en-CA"/>
              </w:rPr>
            </w:pPr>
            <w:proofErr w:type="spellStart"/>
            <w:r>
              <w:rPr>
                <w:rFonts w:cstheme="minorHAnsi"/>
                <w:color w:val="000000"/>
                <w:lang w:eastAsia="en-CA"/>
              </w:rPr>
              <w:t>mfranz</w:t>
            </w:r>
            <w:proofErr w:type="spellEnd"/>
          </w:p>
        </w:tc>
        <w:tc>
          <w:tcPr>
            <w:tcW w:w="1530" w:type="dxa"/>
            <w:tcBorders>
              <w:top w:val="single" w:sz="4" w:space="0" w:color="000000"/>
              <w:left w:val="single" w:sz="4" w:space="0" w:color="000000"/>
              <w:bottom w:val="single" w:sz="4" w:space="0" w:color="000000"/>
              <w:right w:val="single" w:sz="4" w:space="0" w:color="000000"/>
            </w:tcBorders>
            <w:vAlign w:val="bottom"/>
          </w:tcPr>
          <w:p w14:paraId="11ADD227" w14:textId="37A3A775" w:rsidR="002B7103" w:rsidRDefault="00CD40B8">
            <w:pPr>
              <w:rPr>
                <w:rFonts w:cstheme="minorHAnsi"/>
                <w:color w:val="000000"/>
                <w:lang w:eastAsia="en-CA"/>
              </w:rPr>
            </w:pPr>
            <w:r>
              <w:rPr>
                <w:rFonts w:cstheme="minorHAnsi"/>
                <w:color w:val="000000"/>
                <w:lang w:eastAsia="en-CA"/>
              </w:rPr>
              <w:t xml:space="preserve">MC </w:t>
            </w:r>
          </w:p>
        </w:tc>
        <w:tc>
          <w:tcPr>
            <w:tcW w:w="1528" w:type="dxa"/>
            <w:tcBorders>
              <w:top w:val="single" w:sz="4" w:space="0" w:color="000000"/>
              <w:left w:val="single" w:sz="4" w:space="0" w:color="000000"/>
              <w:bottom w:val="single" w:sz="4" w:space="0" w:color="000000"/>
              <w:right w:val="single" w:sz="4" w:space="0" w:color="000000"/>
            </w:tcBorders>
          </w:tcPr>
          <w:p w14:paraId="11ADD228" w14:textId="0F8BEC5F" w:rsidR="002B7103" w:rsidRDefault="002B7103">
            <w:pPr>
              <w:rPr>
                <w:rFonts w:cstheme="minorHAnsi"/>
                <w:color w:val="000000"/>
                <w:lang w:eastAsia="en-CA"/>
              </w:rPr>
            </w:pPr>
          </w:p>
        </w:tc>
        <w:tc>
          <w:tcPr>
            <w:tcW w:w="1534" w:type="dxa"/>
            <w:tcBorders>
              <w:top w:val="single" w:sz="4" w:space="0" w:color="000000"/>
              <w:left w:val="single" w:sz="4" w:space="0" w:color="000000"/>
              <w:bottom w:val="single" w:sz="4" w:space="0" w:color="000000"/>
              <w:right w:val="single" w:sz="4" w:space="0" w:color="000000"/>
            </w:tcBorders>
            <w:vAlign w:val="bottom"/>
          </w:tcPr>
          <w:p w14:paraId="11ADD229" w14:textId="77777777" w:rsidR="002B7103" w:rsidRDefault="00CD40B8">
            <w:pPr>
              <w:rPr>
                <w:rFonts w:cstheme="minorHAnsi"/>
                <w:color w:val="000000"/>
                <w:lang w:eastAsia="en-CA"/>
              </w:rPr>
            </w:pPr>
            <w:r>
              <w:rPr>
                <w:rFonts w:cstheme="minorHAnsi"/>
                <w:color w:val="000000"/>
                <w:lang w:eastAsia="en-CA"/>
              </w:rPr>
              <w:t>TBA</w:t>
            </w:r>
          </w:p>
        </w:tc>
      </w:tr>
      <w:tr w:rsidR="002B7103" w14:paraId="11ADD230" w14:textId="77777777">
        <w:trPr>
          <w:trHeight w:val="315"/>
        </w:trPr>
        <w:tc>
          <w:tcPr>
            <w:tcW w:w="3303" w:type="dxa"/>
            <w:tcBorders>
              <w:top w:val="single" w:sz="4" w:space="0" w:color="000000"/>
              <w:left w:val="single" w:sz="4" w:space="0" w:color="000000"/>
              <w:bottom w:val="single" w:sz="4" w:space="0" w:color="000000"/>
              <w:right w:val="single" w:sz="4" w:space="0" w:color="000000"/>
            </w:tcBorders>
            <w:vAlign w:val="bottom"/>
          </w:tcPr>
          <w:p w14:paraId="11ADD22B" w14:textId="77777777" w:rsidR="002B7103" w:rsidRDefault="00CD40B8">
            <w:pPr>
              <w:rPr>
                <w:rFonts w:cstheme="minorHAnsi"/>
                <w:color w:val="000000"/>
                <w:lang w:eastAsia="en-CA"/>
              </w:rPr>
            </w:pPr>
            <w:r>
              <w:rPr>
                <w:lang w:eastAsia="en-CA"/>
              </w:rPr>
              <w:t>TA (TBA)</w:t>
            </w:r>
          </w:p>
        </w:tc>
        <w:tc>
          <w:tcPr>
            <w:tcW w:w="2252" w:type="dxa"/>
            <w:tcBorders>
              <w:top w:val="single" w:sz="4" w:space="0" w:color="000000"/>
              <w:left w:val="single" w:sz="4" w:space="0" w:color="000000"/>
              <w:bottom w:val="single" w:sz="4" w:space="0" w:color="000000"/>
              <w:right w:val="single" w:sz="4" w:space="0" w:color="000000"/>
            </w:tcBorders>
            <w:vAlign w:val="bottom"/>
          </w:tcPr>
          <w:p w14:paraId="11ADD22C" w14:textId="77777777" w:rsidR="002B7103" w:rsidRDefault="00CD40B8">
            <w:pPr>
              <w:rPr>
                <w:rFonts w:cstheme="minorHAnsi"/>
                <w:color w:val="000000"/>
                <w:lang w:eastAsia="en-CA"/>
              </w:rPr>
            </w:pPr>
            <w:r>
              <w:rPr>
                <w:rFonts w:cstheme="minorHAnsi"/>
                <w:color w:val="000000"/>
                <w:lang w:eastAsia="en-CA"/>
              </w:rPr>
              <w:t>TBA</w:t>
            </w:r>
          </w:p>
        </w:tc>
        <w:tc>
          <w:tcPr>
            <w:tcW w:w="1530" w:type="dxa"/>
            <w:tcBorders>
              <w:top w:val="single" w:sz="4" w:space="0" w:color="000000"/>
              <w:left w:val="single" w:sz="4" w:space="0" w:color="000000"/>
              <w:bottom w:val="single" w:sz="4" w:space="0" w:color="000000"/>
              <w:right w:val="single" w:sz="4" w:space="0" w:color="000000"/>
            </w:tcBorders>
            <w:vAlign w:val="bottom"/>
          </w:tcPr>
          <w:p w14:paraId="11ADD22D" w14:textId="77777777" w:rsidR="002B7103" w:rsidRDefault="002B7103">
            <w:pPr>
              <w:rPr>
                <w:rFonts w:cstheme="minorHAnsi"/>
                <w:color w:val="000000"/>
                <w:lang w:eastAsia="en-CA"/>
              </w:rPr>
            </w:pPr>
          </w:p>
        </w:tc>
        <w:tc>
          <w:tcPr>
            <w:tcW w:w="1528" w:type="dxa"/>
            <w:tcBorders>
              <w:top w:val="single" w:sz="4" w:space="0" w:color="000000"/>
              <w:left w:val="single" w:sz="4" w:space="0" w:color="000000"/>
              <w:bottom w:val="single" w:sz="4" w:space="0" w:color="000000"/>
              <w:right w:val="single" w:sz="4" w:space="0" w:color="000000"/>
            </w:tcBorders>
          </w:tcPr>
          <w:p w14:paraId="11ADD22E" w14:textId="77777777" w:rsidR="002B7103" w:rsidRDefault="002B7103">
            <w:pPr>
              <w:rPr>
                <w:rFonts w:cstheme="minorHAnsi"/>
                <w:color w:val="000000"/>
                <w:lang w:eastAsia="en-CA"/>
              </w:rPr>
            </w:pPr>
          </w:p>
        </w:tc>
        <w:tc>
          <w:tcPr>
            <w:tcW w:w="1534" w:type="dxa"/>
            <w:tcBorders>
              <w:top w:val="single" w:sz="4" w:space="0" w:color="000000"/>
              <w:left w:val="single" w:sz="4" w:space="0" w:color="000000"/>
              <w:bottom w:val="single" w:sz="4" w:space="0" w:color="000000"/>
              <w:right w:val="single" w:sz="4" w:space="0" w:color="000000"/>
            </w:tcBorders>
            <w:vAlign w:val="bottom"/>
          </w:tcPr>
          <w:p w14:paraId="11ADD22F" w14:textId="77777777" w:rsidR="002B7103" w:rsidRDefault="002B7103">
            <w:pPr>
              <w:rPr>
                <w:rFonts w:cstheme="minorHAnsi"/>
                <w:color w:val="000000"/>
                <w:lang w:eastAsia="en-CA"/>
              </w:rPr>
            </w:pPr>
          </w:p>
        </w:tc>
      </w:tr>
    </w:tbl>
    <w:p w14:paraId="11ADD231" w14:textId="77777777" w:rsidR="002B7103" w:rsidRDefault="002B7103">
      <w:pPr>
        <w:rPr>
          <w:bCs/>
        </w:rPr>
      </w:pPr>
    </w:p>
    <w:p w14:paraId="11ADD232" w14:textId="77777777" w:rsidR="002B7103" w:rsidRDefault="00CD40B8">
      <w:pPr>
        <w:rPr>
          <w:bCs/>
          <w:color w:val="385623" w:themeColor="accent6" w:themeShade="80"/>
        </w:rPr>
      </w:pPr>
      <w:r>
        <w:rPr>
          <w:bCs/>
        </w:rPr>
        <w:t xml:space="preserve">Students must use their Western </w:t>
      </w:r>
      <w:r>
        <w:rPr>
          <w:bCs/>
          <w:color w:val="000000" w:themeColor="text1"/>
        </w:rPr>
        <w:t>(</w:t>
      </w:r>
      <w:r>
        <w:rPr>
          <w:bCs/>
          <w:color w:val="0000FF"/>
        </w:rPr>
        <w:t>@uwo.ca</w:t>
      </w:r>
      <w:r>
        <w:rPr>
          <w:bCs/>
        </w:rPr>
        <w:t>) email addresses when contacting their instructors</w:t>
      </w:r>
      <w:r>
        <w:rPr>
          <w:bCs/>
          <w:color w:val="385623" w:themeColor="accent6" w:themeShade="80"/>
        </w:rPr>
        <w:t xml:space="preserve">. </w:t>
      </w:r>
      <w:r>
        <w:t xml:space="preserve">The course number (Math </w:t>
      </w:r>
      <w:r>
        <w:t>3157A</w:t>
      </w:r>
      <w:r>
        <w:t>) must be included in the subject line. The email must adhere to professional standards (proper salutation, complete sentences, correct English etc.).</w:t>
      </w:r>
    </w:p>
    <w:p w14:paraId="11ADD233" w14:textId="77777777" w:rsidR="002B7103" w:rsidRDefault="002B7103">
      <w:pPr>
        <w:rPr>
          <w:bCs/>
          <w:color w:val="007F00"/>
        </w:rPr>
      </w:pPr>
    </w:p>
    <w:p w14:paraId="11ADD234" w14:textId="77777777" w:rsidR="002B7103" w:rsidRDefault="00CD40B8">
      <w:pPr>
        <w:rPr>
          <w:bCs/>
          <w:color w:val="007F00"/>
        </w:rPr>
      </w:pPr>
      <w:r>
        <w:t xml:space="preserve">Office hours (2h/week) will be held in person, details TBA. In case of </w:t>
      </w:r>
      <w:r>
        <w:t>an ongoing pandemic (flu, covid, etc.), office hours may be conducted online.</w:t>
      </w:r>
    </w:p>
    <w:p w14:paraId="11ADD235" w14:textId="77777777" w:rsidR="002B7103" w:rsidRDefault="002B7103">
      <w:pPr>
        <w:rPr>
          <w:b/>
          <w:bCs/>
          <w:sz w:val="36"/>
          <w:szCs w:val="36"/>
        </w:rPr>
      </w:pPr>
    </w:p>
    <w:p w14:paraId="11ADD236" w14:textId="77777777" w:rsidR="002B7103" w:rsidRDefault="00CD40B8">
      <w:pPr>
        <w:rPr>
          <w:b/>
          <w:bCs/>
        </w:rPr>
      </w:pPr>
      <w:r>
        <w:rPr>
          <w:b/>
          <w:bCs/>
          <w:sz w:val="36"/>
          <w:szCs w:val="36"/>
        </w:rPr>
        <w:t>3. Course Syllabus, Schedule, Delivery Mode</w:t>
      </w:r>
    </w:p>
    <w:p w14:paraId="11ADD237" w14:textId="77777777" w:rsidR="002B7103" w:rsidRDefault="00CD40B8">
      <w:pPr>
        <w:rPr>
          <w:bCs/>
          <w:color w:val="007F00"/>
        </w:rPr>
      </w:pPr>
      <w:r>
        <w:rPr>
          <w:b/>
          <w:bCs/>
        </w:rPr>
        <w:br/>
      </w:r>
      <w:r>
        <w:t>A first course in the mathematical theory of games. Topics begin with the modelling of games: extensive and strategic forms; perfect information; chance. Sprague-Grundy theory of impartial combinatorial games. Modelling preferences with utility functions. Nash equilibria, analysis of two-player games. If time permits, additional topics will be discussed.</w:t>
      </w:r>
    </w:p>
    <w:p w14:paraId="11ADD238" w14:textId="77777777" w:rsidR="002B7103" w:rsidRDefault="002B7103">
      <w:pPr>
        <w:rPr>
          <w:bCs/>
          <w:color w:val="007F00"/>
        </w:rPr>
      </w:pPr>
    </w:p>
    <w:p w14:paraId="11ADD239" w14:textId="77777777" w:rsidR="002B7103" w:rsidRDefault="00CD40B8">
      <w:r>
        <w:lastRenderedPageBreak/>
        <w:t xml:space="preserve">At a successful completion of </w:t>
      </w:r>
      <w:r>
        <w:t>the course, a student</w:t>
      </w:r>
      <w:r>
        <w:t xml:space="preserve"> will be able to</w:t>
      </w:r>
    </w:p>
    <w:p w14:paraId="11ADD23A" w14:textId="77777777" w:rsidR="002B7103" w:rsidRDefault="00CD40B8">
      <w:pPr>
        <w:numPr>
          <w:ilvl w:val="0"/>
          <w:numId w:val="1"/>
        </w:numPr>
      </w:pPr>
      <w:r>
        <w:t>explain and apply basic game theorical concepts and methods,</w:t>
      </w:r>
    </w:p>
    <w:p w14:paraId="11ADD23B" w14:textId="77777777" w:rsidR="002B7103" w:rsidRDefault="00CD40B8">
      <w:pPr>
        <w:numPr>
          <w:ilvl w:val="0"/>
          <w:numId w:val="1"/>
        </w:numPr>
      </w:pPr>
      <w:r>
        <w:t>determine the optimal strategies, outcomes, and equilibrium of various forms of games,</w:t>
      </w:r>
    </w:p>
    <w:p w14:paraId="11ADD23C" w14:textId="77777777" w:rsidR="002B7103" w:rsidRDefault="00CD40B8">
      <w:pPr>
        <w:numPr>
          <w:ilvl w:val="0"/>
          <w:numId w:val="1"/>
        </w:numPr>
      </w:pPr>
      <w:r>
        <w:t xml:space="preserve">demonstrate competence in </w:t>
      </w:r>
      <w:r>
        <w:t>his/her</w:t>
      </w:r>
      <w:r>
        <w:t xml:space="preserve"> ability to evaluate, decide, and predict the behaviours of others involved in a strategic situation,</w:t>
      </w:r>
    </w:p>
    <w:p w14:paraId="11ADD23D" w14:textId="77777777" w:rsidR="002B7103" w:rsidRDefault="00CD40B8">
      <w:pPr>
        <w:numPr>
          <w:ilvl w:val="0"/>
          <w:numId w:val="1"/>
        </w:numPr>
      </w:pPr>
      <w:r>
        <w:t xml:space="preserve">apply the theory to real world </w:t>
      </w:r>
      <w:r>
        <w:t>examples,</w:t>
      </w:r>
    </w:p>
    <w:p w14:paraId="11ADD23E" w14:textId="77777777" w:rsidR="002B7103" w:rsidRDefault="00CD40B8">
      <w:pPr>
        <w:numPr>
          <w:ilvl w:val="0"/>
          <w:numId w:val="1"/>
        </w:numPr>
      </w:pPr>
      <w:r>
        <w:t xml:space="preserve">state </w:t>
      </w:r>
      <w:r>
        <w:t xml:space="preserve">important </w:t>
      </w:r>
      <w:r>
        <w:t>definitions and results from the course in a precise way,</w:t>
      </w:r>
    </w:p>
    <w:p w14:paraId="11ADD23F" w14:textId="77777777" w:rsidR="002B7103" w:rsidRDefault="00CD40B8">
      <w:pPr>
        <w:numPr>
          <w:ilvl w:val="0"/>
          <w:numId w:val="1"/>
        </w:numPr>
      </w:pPr>
      <w:r>
        <w:t>present written answers in a complete, correct and well-structured way, using correct notation.</w:t>
      </w:r>
    </w:p>
    <w:p w14:paraId="11ADD240" w14:textId="77777777" w:rsidR="002B7103" w:rsidRDefault="002B7103">
      <w:pPr>
        <w:rPr>
          <w:bCs/>
          <w:color w:val="007F00"/>
        </w:rPr>
      </w:pPr>
    </w:p>
    <w:p w14:paraId="11ADD241" w14:textId="77777777" w:rsidR="002B7103" w:rsidRDefault="00CD40B8">
      <w:pPr>
        <w:rPr>
          <w:bCs/>
          <w:color w:val="007F00"/>
        </w:rPr>
      </w:pPr>
      <w:r>
        <w:t>Classes are held in person MWF 12:30-1:30pm.</w:t>
      </w:r>
    </w:p>
    <w:p w14:paraId="11ADD242" w14:textId="77777777" w:rsidR="002B7103" w:rsidRDefault="002B7103">
      <w:pPr>
        <w:rPr>
          <w:bCs/>
          <w:color w:val="007F00"/>
        </w:rPr>
      </w:pPr>
    </w:p>
    <w:p w14:paraId="11ADD243" w14:textId="77777777" w:rsidR="002B7103" w:rsidRDefault="00CD40B8">
      <w:pPr>
        <w:tabs>
          <w:tab w:val="left" w:pos="6204"/>
        </w:tabs>
        <w:ind w:left="284"/>
        <w:rPr>
          <w:bCs/>
          <w:color w:val="000000" w:themeColor="text1"/>
        </w:rPr>
      </w:pPr>
      <w:r>
        <w:rPr>
          <w:bCs/>
          <w:color w:val="000000" w:themeColor="text1"/>
        </w:rPr>
        <w:t>Classes begin: September 4, 2025; January 5, 2026</w:t>
      </w:r>
      <w:r>
        <w:rPr>
          <w:bCs/>
          <w:color w:val="000000" w:themeColor="text1"/>
        </w:rPr>
        <w:tab/>
      </w:r>
    </w:p>
    <w:p w14:paraId="11ADD244" w14:textId="77777777" w:rsidR="002B7103" w:rsidRDefault="00CD40B8">
      <w:pPr>
        <w:ind w:left="284"/>
        <w:rPr>
          <w:bCs/>
          <w:color w:val="000000" w:themeColor="text1"/>
        </w:rPr>
      </w:pPr>
      <w:r>
        <w:rPr>
          <w:bCs/>
          <w:color w:val="000000" w:themeColor="text1"/>
        </w:rPr>
        <w:t xml:space="preserve">Fall Reading Week: November 3 – 9, 2025 </w:t>
      </w:r>
    </w:p>
    <w:p w14:paraId="11ADD245" w14:textId="77777777" w:rsidR="002B7103" w:rsidRDefault="00CD40B8">
      <w:pPr>
        <w:ind w:left="284"/>
        <w:rPr>
          <w:bCs/>
          <w:color w:val="000000" w:themeColor="text1"/>
        </w:rPr>
      </w:pPr>
      <w:r>
        <w:rPr>
          <w:bCs/>
          <w:color w:val="000000" w:themeColor="text1"/>
        </w:rPr>
        <w:t>Spring Reading Week: February 14 – 22, 2026</w:t>
      </w:r>
    </w:p>
    <w:p w14:paraId="11ADD246" w14:textId="77777777" w:rsidR="002B7103" w:rsidRDefault="00CD40B8">
      <w:pPr>
        <w:ind w:left="284"/>
        <w:rPr>
          <w:bCs/>
          <w:color w:val="000000" w:themeColor="text1"/>
        </w:rPr>
      </w:pPr>
      <w:r>
        <w:rPr>
          <w:bCs/>
          <w:color w:val="000000" w:themeColor="text1"/>
        </w:rPr>
        <w:t>Classes end: December 9, 2025; April 9, 2026</w:t>
      </w:r>
    </w:p>
    <w:p w14:paraId="11ADD247" w14:textId="77777777" w:rsidR="002B7103" w:rsidRDefault="00CD40B8">
      <w:pPr>
        <w:ind w:left="284"/>
        <w:rPr>
          <w:bCs/>
          <w:color w:val="000000" w:themeColor="text1"/>
        </w:rPr>
      </w:pPr>
      <w:r>
        <w:rPr>
          <w:bCs/>
          <w:color w:val="000000" w:themeColor="text1"/>
        </w:rPr>
        <w:t>Exam period: December 11 – 22, 2025; April 12 – 30, 2026</w:t>
      </w:r>
    </w:p>
    <w:p w14:paraId="11ADD248" w14:textId="77777777" w:rsidR="002B7103" w:rsidRDefault="002B7103">
      <w:pPr>
        <w:rPr>
          <w:bCs/>
          <w:color w:val="0432FF"/>
        </w:rPr>
      </w:pPr>
    </w:p>
    <w:p w14:paraId="11ADD249" w14:textId="77777777" w:rsidR="002B7103" w:rsidRDefault="002B7103"/>
    <w:p w14:paraId="11ADD24A" w14:textId="77777777" w:rsidR="002B7103" w:rsidRDefault="00CD40B8">
      <w:pPr>
        <w:rPr>
          <w:bCs/>
        </w:rPr>
      </w:pPr>
      <w:r>
        <w:rPr>
          <w:b/>
          <w:bCs/>
          <w:sz w:val="36"/>
          <w:szCs w:val="36"/>
        </w:rPr>
        <w:t>4. Course Materials</w:t>
      </w:r>
    </w:p>
    <w:p w14:paraId="11ADD24B" w14:textId="77777777" w:rsidR="002B7103" w:rsidRDefault="00CD40B8">
      <w:pPr>
        <w:rPr>
          <w:bCs/>
          <w:color w:val="007F00"/>
        </w:rPr>
      </w:pPr>
      <w:r>
        <w:rPr>
          <w:bCs/>
        </w:rPr>
        <w:br/>
      </w:r>
      <w:r>
        <w:rPr>
          <w:b/>
          <w:bCs/>
        </w:rPr>
        <w:t>Required textbook</w:t>
      </w:r>
      <w:r>
        <w:rPr>
          <w:bCs/>
        </w:rPr>
        <w:t xml:space="preserve"> (</w:t>
      </w:r>
      <w:proofErr w:type="spellStart"/>
      <w:r>
        <w:rPr>
          <w:bCs/>
        </w:rPr>
        <w:t>ebook</w:t>
      </w:r>
      <w:proofErr w:type="spellEnd"/>
      <w:r>
        <w:rPr>
          <w:bCs/>
        </w:rPr>
        <w:t xml:space="preserve"> or print):</w:t>
      </w:r>
    </w:p>
    <w:p w14:paraId="11ADD24C" w14:textId="77777777" w:rsidR="002B7103" w:rsidRDefault="002B7103">
      <w:pPr>
        <w:rPr>
          <w:bCs/>
          <w:color w:val="007F00"/>
        </w:rPr>
      </w:pPr>
    </w:p>
    <w:p w14:paraId="11ADD24D" w14:textId="77777777" w:rsidR="002B7103" w:rsidRDefault="00CD40B8">
      <w:pPr>
        <w:pStyle w:val="PreformattedText"/>
        <w:rPr>
          <w:rFonts w:ascii="DejaVu Sans" w:hAnsi="DejaVu Sans"/>
        </w:rPr>
      </w:pPr>
      <w:r>
        <w:rPr>
          <w:rFonts w:ascii="DejaVu Sans" w:hAnsi="DejaVu Sans"/>
        </w:rPr>
        <w:t>Matt DeVos, Deborah A. Kent</w:t>
      </w:r>
    </w:p>
    <w:p w14:paraId="11ADD24E" w14:textId="77777777" w:rsidR="002B7103" w:rsidRDefault="00CD40B8">
      <w:pPr>
        <w:pStyle w:val="PreformattedText"/>
        <w:rPr>
          <w:rFonts w:ascii="DejaVu Sans" w:hAnsi="DejaVu Sans"/>
        </w:rPr>
      </w:pPr>
      <w:r>
        <w:rPr>
          <w:rFonts w:ascii="DejaVu Sans" w:hAnsi="DejaVu Sans"/>
        </w:rPr>
        <w:t>Game Theory: A Playful Introduction</w:t>
      </w:r>
    </w:p>
    <w:p w14:paraId="11ADD24F" w14:textId="77777777" w:rsidR="002B7103" w:rsidRDefault="00CD40B8">
      <w:pPr>
        <w:pStyle w:val="PreformattedText"/>
        <w:rPr>
          <w:rFonts w:ascii="DejaVu Sans" w:hAnsi="DejaVu Sans"/>
        </w:rPr>
      </w:pPr>
      <w:r>
        <w:rPr>
          <w:rFonts w:ascii="DejaVu Sans" w:hAnsi="DejaVu Sans"/>
        </w:rPr>
        <w:t>American Mathematical Society, 2016</w:t>
      </w:r>
    </w:p>
    <w:p w14:paraId="11ADD250" w14:textId="77777777" w:rsidR="002B7103" w:rsidRDefault="00CD40B8">
      <w:pPr>
        <w:pStyle w:val="PreformattedText"/>
      </w:pPr>
      <w:hyperlink r:id="rId15">
        <w:r>
          <w:rPr>
            <w:rStyle w:val="Hyperlink"/>
            <w:rFonts w:ascii="DejaVu Sans" w:hAnsi="DejaVu Sans"/>
          </w:rPr>
          <w:t>https://bookstore.ams.org/stml-80</w:t>
        </w:r>
      </w:hyperlink>
    </w:p>
    <w:p w14:paraId="11ADD251" w14:textId="77777777" w:rsidR="002B7103" w:rsidRDefault="002B7103"/>
    <w:p w14:paraId="11ADD252" w14:textId="77777777" w:rsidR="002B7103" w:rsidRDefault="00CD40B8">
      <w:pPr>
        <w:rPr>
          <w:bCs/>
          <w:color w:val="0432FF"/>
        </w:rPr>
      </w:pPr>
      <w:r>
        <w:t>Prices can be found on the course page at</w:t>
      </w:r>
      <w:r>
        <w:t xml:space="preserve"> the Western Bookstore:</w:t>
      </w:r>
    </w:p>
    <w:p w14:paraId="11ADD253" w14:textId="77777777" w:rsidR="002B7103" w:rsidRDefault="002B7103">
      <w:pPr>
        <w:rPr>
          <w:bCs/>
          <w:color w:val="0432FF"/>
        </w:rPr>
      </w:pPr>
    </w:p>
    <w:p w14:paraId="11ADD254" w14:textId="77777777" w:rsidR="002B7103" w:rsidRDefault="00CD40B8">
      <w:pPr>
        <w:rPr>
          <w:bCs/>
          <w:color w:val="0432FF"/>
        </w:rPr>
      </w:pPr>
      <w:r>
        <w:t>https://bookstore.uwo.ca/textbook-search?campus=UWO&amp;term=W2025A&amp;courses%5B0%5D=001_UW/MAT3157A</w:t>
      </w:r>
    </w:p>
    <w:p w14:paraId="11ADD255" w14:textId="77777777" w:rsidR="002B7103" w:rsidRDefault="002B7103">
      <w:pPr>
        <w:rPr>
          <w:bCs/>
          <w:color w:val="0432FF"/>
        </w:rPr>
      </w:pPr>
    </w:p>
    <w:p w14:paraId="11ADD256" w14:textId="77777777" w:rsidR="002B7103" w:rsidRDefault="00CD40B8">
      <w:pPr>
        <w:rPr>
          <w:bCs/>
          <w:color w:val="0432FF"/>
        </w:rPr>
      </w:pPr>
      <w:r>
        <w:t xml:space="preserve">(Note that on the AMS page the </w:t>
      </w:r>
      <w:proofErr w:type="spellStart"/>
      <w:r>
        <w:t>ebook</w:t>
      </w:r>
      <w:proofErr w:type="spellEnd"/>
      <w:r>
        <w:t xml:space="preserve"> is cheaper than the printed copy.)</w:t>
      </w:r>
    </w:p>
    <w:p w14:paraId="11ADD257" w14:textId="77777777" w:rsidR="002B7103" w:rsidRDefault="002B7103">
      <w:pPr>
        <w:rPr>
          <w:bCs/>
          <w:color w:val="0432FF"/>
        </w:rPr>
      </w:pPr>
    </w:p>
    <w:p w14:paraId="11ADD258" w14:textId="77777777" w:rsidR="002B7103" w:rsidRDefault="00CD40B8">
      <w:pPr>
        <w:rPr>
          <w:bCs/>
          <w:color w:val="FF0000"/>
        </w:rPr>
      </w:pPr>
      <w:r>
        <w:rPr>
          <w:bCs/>
          <w:color w:val="000000" w:themeColor="text1"/>
        </w:rPr>
        <w:t xml:space="preserve">All course material will be posted to OWL: </w:t>
      </w:r>
      <w:r>
        <w:rPr>
          <w:bCs/>
          <w:color w:val="0000FF"/>
        </w:rPr>
        <w:t>https://westernu.brightspace.com/</w:t>
      </w:r>
      <w:r>
        <w:rPr>
          <w:bCs/>
          <w:color w:val="000000" w:themeColor="text1"/>
        </w:rPr>
        <w:t xml:space="preserve"> </w:t>
      </w:r>
    </w:p>
    <w:p w14:paraId="11ADD259" w14:textId="77777777" w:rsidR="002B7103" w:rsidRDefault="002B7103">
      <w:pPr>
        <w:rPr>
          <w:bCs/>
          <w:color w:val="000000" w:themeColor="text1"/>
        </w:rPr>
      </w:pPr>
    </w:p>
    <w:p w14:paraId="11ADD25A" w14:textId="77777777" w:rsidR="002B7103" w:rsidRDefault="00CD40B8">
      <w:pPr>
        <w:rPr>
          <w:bCs/>
          <w:color w:val="000000" w:themeColor="text1"/>
        </w:rPr>
      </w:pPr>
      <w:r>
        <w:rPr>
          <w:bCs/>
          <w:color w:val="000000" w:themeColor="text1"/>
        </w:rPr>
        <w:t>Students are responsible for checking the course OWL site (</w:t>
      </w:r>
      <w:r>
        <w:rPr>
          <w:bCs/>
          <w:color w:val="0000FF"/>
        </w:rPr>
        <w:t>https://westernu.brightspace.com/</w:t>
      </w:r>
      <w:r>
        <w:rPr>
          <w:bCs/>
          <w:color w:val="000000" w:themeColor="text1"/>
        </w:rPr>
        <w:t xml:space="preserve">) regularly for news and updates. This is the primary method by which information will be disseminated to all students in the class. </w:t>
      </w:r>
    </w:p>
    <w:p w14:paraId="11ADD25B" w14:textId="77777777" w:rsidR="002B7103" w:rsidRDefault="002B7103">
      <w:pPr>
        <w:rPr>
          <w:bCs/>
          <w:color w:val="000000" w:themeColor="text1"/>
        </w:rPr>
      </w:pPr>
    </w:p>
    <w:p w14:paraId="11ADD25C" w14:textId="77777777" w:rsidR="002B7103" w:rsidRDefault="00CD40B8">
      <w:pPr>
        <w:rPr>
          <w:bCs/>
          <w:color w:val="000000" w:themeColor="text1"/>
        </w:rPr>
      </w:pPr>
      <w:r>
        <w:rPr>
          <w:bCs/>
          <w:color w:val="000000" w:themeColor="text1"/>
        </w:rPr>
        <w:t xml:space="preserve">If students need assistance with the course OWL site, they can seek support on the </w:t>
      </w:r>
      <w:hyperlink r:id="rId16">
        <w:r>
          <w:rPr>
            <w:rStyle w:val="Hyperlink"/>
            <w:bCs/>
          </w:rPr>
          <w:t>OWL Brightspace Help</w:t>
        </w:r>
      </w:hyperlink>
      <w:r>
        <w:rPr>
          <w:bCs/>
          <w:color w:val="000000" w:themeColor="text1"/>
        </w:rPr>
        <w:t xml:space="preserve"> page.  Alternatively, they can contact the Western Technology Services Helpdesk.  They can be contacted by phone at 519-661-3800 or ext. 83800.</w:t>
      </w:r>
    </w:p>
    <w:p w14:paraId="11ADD25D" w14:textId="77777777" w:rsidR="002B7103" w:rsidRDefault="002B7103">
      <w:pPr>
        <w:rPr>
          <w:bCs/>
        </w:rPr>
      </w:pPr>
    </w:p>
    <w:p w14:paraId="11ADD25E" w14:textId="77777777" w:rsidR="002B7103" w:rsidRDefault="00CD40B8">
      <w:pPr>
        <w:rPr>
          <w:b/>
          <w:bCs/>
          <w:color w:val="000000" w:themeColor="text1"/>
        </w:rPr>
      </w:pPr>
      <w:r>
        <w:rPr>
          <w:b/>
          <w:bCs/>
          <w:color w:val="000000" w:themeColor="text1"/>
        </w:rPr>
        <w:t>Technical Requirements</w:t>
      </w:r>
    </w:p>
    <w:p w14:paraId="11ADD25F" w14:textId="77777777" w:rsidR="002B7103" w:rsidRDefault="002B7103">
      <w:pPr>
        <w:rPr>
          <w:bCs/>
          <w:color w:val="007F00"/>
        </w:rPr>
      </w:pPr>
    </w:p>
    <w:p w14:paraId="11ADD260" w14:textId="77777777" w:rsidR="002B7103" w:rsidRDefault="00CD40B8">
      <w:r>
        <w:t xml:space="preserve">In case of a switch to online learning, </w:t>
      </w:r>
      <w:r>
        <w:t>students are required to have</w:t>
      </w:r>
      <w:r>
        <w:t xml:space="preserve"> stable internet connection, computer with working microphone and webcam and an up-to-date web browser like Firefox, Chrome or Safari, </w:t>
      </w:r>
      <w:r>
        <w:t>a document scanner or scanning app.</w:t>
      </w:r>
    </w:p>
    <w:p w14:paraId="11ADD261" w14:textId="77777777" w:rsidR="002B7103" w:rsidRDefault="002B7103">
      <w:pPr>
        <w:rPr>
          <w:bCs/>
          <w:color w:val="007F00"/>
        </w:rPr>
      </w:pPr>
    </w:p>
    <w:p w14:paraId="11ADD262" w14:textId="77777777" w:rsidR="002B7103" w:rsidRDefault="00CD40B8">
      <w:pPr>
        <w:rPr>
          <w:bCs/>
          <w:color w:val="0432FF"/>
        </w:rPr>
      </w:pPr>
      <w:r>
        <w:rPr>
          <w:b/>
          <w:bCs/>
          <w:sz w:val="36"/>
          <w:szCs w:val="36"/>
        </w:rPr>
        <w:t>5. Methods of Evaluation</w:t>
      </w:r>
    </w:p>
    <w:p w14:paraId="11ADD263" w14:textId="77777777" w:rsidR="002B7103" w:rsidRDefault="002B7103">
      <w:pPr>
        <w:rPr>
          <w:bCs/>
          <w:color w:val="0432FF"/>
        </w:rPr>
      </w:pPr>
    </w:p>
    <w:p w14:paraId="11ADD264" w14:textId="77777777" w:rsidR="002B7103" w:rsidRDefault="00CD40B8">
      <w:pPr>
        <w:rPr>
          <w:bCs/>
          <w:color w:val="007F00"/>
        </w:rPr>
      </w:pPr>
      <w:r>
        <w:rPr>
          <w:b/>
          <w:bCs/>
        </w:rPr>
        <w:t>Grading Scheme and Assessment Dates</w:t>
      </w:r>
    </w:p>
    <w:p w14:paraId="11ADD265" w14:textId="77777777" w:rsidR="002B7103" w:rsidRDefault="002B7103">
      <w:pPr>
        <w:rPr>
          <w:bCs/>
        </w:rPr>
      </w:pPr>
    </w:p>
    <w:p w14:paraId="11ADD266" w14:textId="77777777" w:rsidR="002B7103" w:rsidRDefault="00CD40B8">
      <w:pPr>
        <w:rPr>
          <w:bCs/>
        </w:rPr>
      </w:pPr>
      <w:r>
        <w:rPr>
          <w:bCs/>
        </w:rPr>
        <w:t xml:space="preserve">The overall course grade will be calculated as listed below: </w:t>
      </w:r>
    </w:p>
    <w:p w14:paraId="11ADD267" w14:textId="77777777" w:rsidR="002B7103" w:rsidRDefault="00CD40B8">
      <w:pPr>
        <w:rPr>
          <w:bCs/>
        </w:rPr>
      </w:pPr>
      <w:r>
        <w:rPr>
          <w:bCs/>
        </w:rPr>
        <w:t>Quizzes (2)</w:t>
      </w:r>
      <w:r>
        <w:rPr>
          <w:bCs/>
        </w:rPr>
        <w:tab/>
      </w:r>
      <w:r>
        <w:rPr>
          <w:bCs/>
        </w:rPr>
        <w:tab/>
      </w:r>
      <w:r>
        <w:t>20%</w:t>
      </w:r>
      <w:r>
        <w:tab/>
        <w:t>(</w:t>
      </w:r>
      <w:r>
        <w:t>10</w:t>
      </w:r>
      <w:r>
        <w:t>% each)</w:t>
      </w:r>
    </w:p>
    <w:p w14:paraId="11ADD268" w14:textId="77777777" w:rsidR="002B7103" w:rsidRDefault="00CD40B8">
      <w:pPr>
        <w:rPr>
          <w:bCs/>
        </w:rPr>
      </w:pPr>
      <w:r>
        <w:t>Midterm Test</w:t>
      </w:r>
      <w:r>
        <w:tab/>
      </w:r>
      <w:r>
        <w:tab/>
      </w:r>
      <w:r>
        <w:t>25</w:t>
      </w:r>
      <w:r>
        <w:t>%</w:t>
      </w:r>
    </w:p>
    <w:p w14:paraId="11ADD269" w14:textId="77777777" w:rsidR="002B7103" w:rsidRDefault="00CD40B8">
      <w:pPr>
        <w:rPr>
          <w:bCs/>
        </w:rPr>
      </w:pPr>
      <w:r>
        <w:t>Final Exam</w:t>
      </w:r>
      <w:r>
        <w:tab/>
      </w:r>
      <w:r>
        <w:tab/>
        <w:t>45%</w:t>
      </w:r>
    </w:p>
    <w:p w14:paraId="11ADD26A" w14:textId="77777777" w:rsidR="002B7103" w:rsidRDefault="00CD40B8">
      <w:pPr>
        <w:rPr>
          <w:bCs/>
        </w:rPr>
      </w:pPr>
      <w:r>
        <w:rPr>
          <w:bCs/>
        </w:rPr>
        <w:t>Participation</w:t>
      </w:r>
      <w:r>
        <w:rPr>
          <w:bCs/>
        </w:rPr>
        <w:tab/>
      </w:r>
      <w:r>
        <w:rPr>
          <w:bCs/>
        </w:rPr>
        <w:tab/>
        <w:t>10%</w:t>
      </w:r>
    </w:p>
    <w:p w14:paraId="11ADD26B" w14:textId="77777777" w:rsidR="002B7103" w:rsidRDefault="002B7103">
      <w:pPr>
        <w:rPr>
          <w:bCs/>
          <w:color w:val="000000"/>
        </w:rPr>
      </w:pPr>
    </w:p>
    <w:p w14:paraId="11ADD26C" w14:textId="77777777" w:rsidR="002B7103" w:rsidRDefault="00CD40B8">
      <w:pPr>
        <w:rPr>
          <w:bCs/>
          <w:color w:val="000000"/>
        </w:rPr>
      </w:pPr>
      <w:r>
        <w:rPr>
          <w:bCs/>
          <w:color w:val="000000"/>
        </w:rPr>
        <w:t>“</w:t>
      </w:r>
      <w:r>
        <w:rPr>
          <w:bCs/>
          <w:color w:val="000000"/>
        </w:rPr>
        <w:t xml:space="preserve">Participation” refers to in-class participation, for example to asking or answering questions. This may be in the context of reading parts of the book together in class. In this case (which will be announced ahead of time), each students needs to bring a printed copy of the book, or alternatively the </w:t>
      </w:r>
      <w:proofErr w:type="spellStart"/>
      <w:r>
        <w:rPr>
          <w:bCs/>
          <w:color w:val="000000"/>
        </w:rPr>
        <w:t>ebook</w:t>
      </w:r>
      <w:proofErr w:type="spellEnd"/>
      <w:r>
        <w:rPr>
          <w:bCs/>
          <w:color w:val="000000"/>
        </w:rPr>
        <w:t xml:space="preserve"> version on a tablet or laptop. Smartphones or other </w:t>
      </w:r>
      <w:proofErr w:type="gramStart"/>
      <w:r>
        <w:rPr>
          <w:bCs/>
          <w:color w:val="000000"/>
        </w:rPr>
        <w:t>small tiny</w:t>
      </w:r>
      <w:proofErr w:type="gramEnd"/>
      <w:r>
        <w:rPr>
          <w:bCs/>
          <w:color w:val="000000"/>
        </w:rPr>
        <w:t xml:space="preserve"> devices are not </w:t>
      </w:r>
      <w:r>
        <w:rPr>
          <w:bCs/>
          <w:color w:val="000000"/>
        </w:rPr>
        <w:t>acceptable</w:t>
      </w:r>
      <w:r>
        <w:rPr>
          <w:bCs/>
          <w:color w:val="000000"/>
        </w:rPr>
        <w:t xml:space="preserve"> and will lead to a reduction of the participation grade.</w:t>
      </w:r>
    </w:p>
    <w:p w14:paraId="11ADD26D" w14:textId="77777777" w:rsidR="002B7103" w:rsidRDefault="002B7103">
      <w:pPr>
        <w:rPr>
          <w:bCs/>
          <w:color w:val="000000"/>
        </w:rPr>
      </w:pPr>
    </w:p>
    <w:p w14:paraId="11ADD26E" w14:textId="77777777" w:rsidR="002B7103" w:rsidRDefault="00CD40B8">
      <w:pPr>
        <w:rPr>
          <w:bCs/>
          <w:color w:val="007F00"/>
        </w:rPr>
      </w:pPr>
      <w:proofErr w:type="spellStart"/>
      <w:r>
        <w:t>Tentatives</w:t>
      </w:r>
      <w:proofErr w:type="spellEnd"/>
      <w:r>
        <w:t xml:space="preserve"> quiz dates: Wed Oct 1 &amp; Wed Nov </w:t>
      </w:r>
      <w:proofErr w:type="gramStart"/>
      <w:r>
        <w:t>19  in</w:t>
      </w:r>
      <w:proofErr w:type="gramEnd"/>
      <w:r>
        <w:t xml:space="preserve"> class</w:t>
      </w:r>
    </w:p>
    <w:p w14:paraId="11ADD26F" w14:textId="77777777" w:rsidR="002B7103" w:rsidRDefault="00CD40B8">
      <w:pPr>
        <w:rPr>
          <w:bCs/>
          <w:color w:val="007F00"/>
        </w:rPr>
      </w:pPr>
      <w:r>
        <w:t>Tentative midterm date: Tue Oct 21 7-9pm</w:t>
      </w:r>
    </w:p>
    <w:p w14:paraId="11ADD270" w14:textId="77777777" w:rsidR="002B7103" w:rsidRDefault="002B7103">
      <w:pPr>
        <w:rPr>
          <w:bCs/>
          <w:color w:val="FF0000"/>
        </w:rPr>
      </w:pPr>
    </w:p>
    <w:p w14:paraId="11ADD271" w14:textId="77777777" w:rsidR="002B7103" w:rsidRDefault="00CD40B8">
      <w:pPr>
        <w:rPr>
          <w:bCs/>
          <w:color w:val="FF0000"/>
        </w:rPr>
      </w:pPr>
      <w:r>
        <w:t xml:space="preserve">There will be homework assignments, roughly every week. These assignments will be graded, but the grade only serves as </w:t>
      </w:r>
      <w:proofErr w:type="gramStart"/>
      <w:r>
        <w:t>a feedback</w:t>
      </w:r>
      <w:proofErr w:type="gramEnd"/>
      <w:r>
        <w:t xml:space="preserve"> to the student, without affecting the final grade for the course. To receive feedback, a student must upload his or her solution to </w:t>
      </w:r>
      <w:proofErr w:type="spellStart"/>
      <w:r>
        <w:t>Gradescope</w:t>
      </w:r>
      <w:proofErr w:type="spellEnd"/>
      <w:r>
        <w:t xml:space="preserve"> before the deadline.</w:t>
      </w:r>
    </w:p>
    <w:p w14:paraId="11ADD272" w14:textId="77777777" w:rsidR="002B7103" w:rsidRDefault="002B7103">
      <w:pPr>
        <w:rPr>
          <w:bCs/>
          <w:color w:val="FF0000"/>
        </w:rPr>
      </w:pPr>
    </w:p>
    <w:p w14:paraId="11ADD273" w14:textId="77777777" w:rsidR="002B7103" w:rsidRDefault="00CD40B8">
      <w:pPr>
        <w:rPr>
          <w:b/>
          <w:bCs/>
        </w:rPr>
      </w:pPr>
      <w:r>
        <w:rPr>
          <w:b/>
          <w:bCs/>
        </w:rPr>
        <w:t>Use of Generative AI Tools</w:t>
      </w:r>
    </w:p>
    <w:p w14:paraId="11ADD274" w14:textId="77777777" w:rsidR="002B7103" w:rsidRDefault="00CD40B8">
      <w:pPr>
        <w:rPr>
          <w:color w:val="007F00"/>
        </w:rPr>
      </w:pPr>
      <w:r>
        <w:t>G</w:t>
      </w:r>
      <w:r>
        <w:t>enerative AI tools (e.g., ChatGPT, Copilot, Gemini) are prohibited for each assessment.</w:t>
      </w:r>
    </w:p>
    <w:p w14:paraId="11ADD275" w14:textId="77777777" w:rsidR="002B7103" w:rsidRDefault="002B7103">
      <w:pPr>
        <w:rPr>
          <w:b/>
          <w:bCs/>
        </w:rPr>
      </w:pPr>
    </w:p>
    <w:p w14:paraId="11ADD276" w14:textId="77777777" w:rsidR="002B7103" w:rsidRDefault="00CD40B8">
      <w:pPr>
        <w:rPr>
          <w:bCs/>
          <w:color w:val="FF0000"/>
        </w:rPr>
      </w:pPr>
      <w:r>
        <w:rPr>
          <w:b/>
          <w:bCs/>
        </w:rPr>
        <w:t>General information about missed coursework</w:t>
      </w:r>
    </w:p>
    <w:p w14:paraId="11ADD277" w14:textId="77777777" w:rsidR="002B7103" w:rsidRDefault="00CD40B8">
      <w:pPr>
        <w:rPr>
          <w:bCs/>
          <w:color w:val="000000" w:themeColor="text1"/>
          <w:lang w:val="en-US"/>
        </w:rPr>
      </w:pPr>
      <w:r>
        <w:rPr>
          <w:bCs/>
          <w:color w:val="000000" w:themeColor="text1"/>
          <w:lang w:val="en-US"/>
        </w:rPr>
        <w:t xml:space="preserve">Students must familiarize themselves with the </w:t>
      </w:r>
      <w:r>
        <w:rPr>
          <w:bCs/>
          <w:i/>
          <w:iCs/>
          <w:color w:val="000000" w:themeColor="text1"/>
          <w:lang w:val="en-US"/>
        </w:rPr>
        <w:t>University Policy on Academic Consideration – Undergraduate Students in First Entry Programs,</w:t>
      </w:r>
      <w:r>
        <w:rPr>
          <w:bCs/>
          <w:color w:val="000000" w:themeColor="text1"/>
          <w:lang w:val="en-US"/>
        </w:rPr>
        <w:t xml:space="preserve"> posted on the Academic Calendar:</w:t>
      </w:r>
    </w:p>
    <w:p w14:paraId="11ADD278" w14:textId="77777777" w:rsidR="002B7103" w:rsidRDefault="00CD40B8">
      <w:pPr>
        <w:rPr>
          <w:bCs/>
          <w:color w:val="007F00"/>
          <w:lang w:val="en-US"/>
        </w:rPr>
      </w:pPr>
      <w:hyperlink r:id="rId17">
        <w:r>
          <w:rPr>
            <w:rStyle w:val="Hyperlink"/>
            <w:bCs/>
            <w:lang w:val="en-US"/>
          </w:rPr>
          <w:t>https://www.uwo.ca/univsec/pdf/academic_policies/appeals/academic_consideration_Sep24.pdf</w:t>
        </w:r>
      </w:hyperlink>
      <w:r>
        <w:rPr>
          <w:bCs/>
          <w:color w:val="007F00"/>
          <w:lang w:val="en-US"/>
        </w:rPr>
        <w:t xml:space="preserve">, </w:t>
      </w:r>
    </w:p>
    <w:p w14:paraId="11ADD279" w14:textId="77777777" w:rsidR="002B7103" w:rsidRDefault="002B7103">
      <w:pPr>
        <w:rPr>
          <w:bCs/>
          <w:color w:val="000000" w:themeColor="text1"/>
          <w:lang w:val="en-US"/>
        </w:rPr>
      </w:pPr>
    </w:p>
    <w:p w14:paraId="11ADD27A" w14:textId="77777777" w:rsidR="002B7103" w:rsidRDefault="00CD40B8">
      <w:pPr>
        <w:rPr>
          <w:color w:val="000000" w:themeColor="text1"/>
          <w:lang w:val="en-US"/>
        </w:rPr>
      </w:pPr>
      <w:r>
        <w:rPr>
          <w:color w:val="000000" w:themeColor="text1"/>
          <w:lang w:val="en-US"/>
        </w:rPr>
        <w:t xml:space="preserve">This policy does not apply to requests for Academic Consideration submitted for </w:t>
      </w:r>
      <w:r>
        <w:rPr>
          <w:b/>
          <w:bCs/>
          <w:color w:val="000000" w:themeColor="text1"/>
          <w:lang w:val="en-US"/>
        </w:rPr>
        <w:t>attempted or completed work</w:t>
      </w:r>
      <w:r>
        <w:rPr>
          <w:color w:val="000000" w:themeColor="text1"/>
          <w:lang w:val="en-US"/>
        </w:rPr>
        <w:t xml:space="preserve">, whether online or in person. </w:t>
      </w:r>
    </w:p>
    <w:p w14:paraId="11ADD27B" w14:textId="77777777" w:rsidR="002B7103" w:rsidRDefault="002B7103">
      <w:pPr>
        <w:rPr>
          <w:color w:val="000000" w:themeColor="text1"/>
          <w:lang w:val="en-US"/>
        </w:rPr>
      </w:pPr>
    </w:p>
    <w:p w14:paraId="11ADD27C" w14:textId="77777777" w:rsidR="002B7103" w:rsidRDefault="00CD40B8">
      <w:pPr>
        <w:rPr>
          <w:color w:val="000000" w:themeColor="text1"/>
          <w:lang w:val="en-US"/>
        </w:rPr>
      </w:pPr>
      <w:r>
        <w:rPr>
          <w:color w:val="000000" w:themeColor="text1"/>
          <w:lang w:val="en-US"/>
        </w:rPr>
        <w:t xml:space="preserve">The policy also does not apply to </w:t>
      </w:r>
      <w:r>
        <w:rPr>
          <w:color w:val="000000" w:themeColor="text1"/>
        </w:rPr>
        <w:t xml:space="preserve">students experiencing longer-term impacts on their academic responsibilities. These students should consult </w:t>
      </w:r>
      <w:hyperlink r:id="rId18">
        <w:r>
          <w:rPr>
            <w:rStyle w:val="Hyperlink"/>
          </w:rPr>
          <w:t>Accessible Education</w:t>
        </w:r>
      </w:hyperlink>
      <w:r>
        <w:rPr>
          <w:color w:val="000000" w:themeColor="text1"/>
        </w:rPr>
        <w:t>.</w:t>
      </w:r>
    </w:p>
    <w:p w14:paraId="11ADD27D" w14:textId="77777777" w:rsidR="002B7103" w:rsidRDefault="002B7103">
      <w:pPr>
        <w:rPr>
          <w:bCs/>
          <w:color w:val="000000" w:themeColor="text1"/>
          <w:lang w:val="en-US"/>
        </w:rPr>
      </w:pPr>
    </w:p>
    <w:p w14:paraId="11ADD27E" w14:textId="77777777" w:rsidR="002B7103" w:rsidRDefault="00CD40B8">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1ADD27F" w14:textId="77777777" w:rsidR="002B7103" w:rsidRDefault="00CD40B8">
      <w:pPr>
        <w:rPr>
          <w:color w:val="000000" w:themeColor="text1"/>
        </w:rPr>
      </w:pPr>
      <w:hyperlink r:id="rId19">
        <w:r>
          <w:rPr>
            <w:rStyle w:val="Hyperlink"/>
          </w:rPr>
          <w:t>https://registrar.uwo.ca/academics/academic_considerations/</w:t>
        </w:r>
      </w:hyperlink>
      <w:r>
        <w:rPr>
          <w:color w:val="000000" w:themeColor="text1"/>
        </w:rPr>
        <w:t xml:space="preserve"> </w:t>
      </w:r>
    </w:p>
    <w:p w14:paraId="11ADD280" w14:textId="77777777" w:rsidR="002B7103" w:rsidRDefault="00CD40B8">
      <w:pPr>
        <w:rPr>
          <w:bCs/>
          <w:color w:val="000000" w:themeColor="text1"/>
        </w:rPr>
      </w:pPr>
      <w:r>
        <w:rPr>
          <w:bCs/>
          <w:color w:val="000000" w:themeColor="text1"/>
        </w:rPr>
        <w:t xml:space="preserve">All requests for Academic Consideration must be made within 48 hours after the assessment date or submission deadline. </w:t>
      </w:r>
    </w:p>
    <w:p w14:paraId="11ADD281" w14:textId="77777777" w:rsidR="002B7103" w:rsidRDefault="002B7103">
      <w:pPr>
        <w:rPr>
          <w:bCs/>
          <w:color w:val="000000" w:themeColor="text1"/>
        </w:rPr>
      </w:pPr>
    </w:p>
    <w:p w14:paraId="11ADD282" w14:textId="77777777" w:rsidR="002B7103" w:rsidRDefault="00CD40B8">
      <w:pPr>
        <w:rPr>
          <w:color w:val="000000" w:themeColor="text1"/>
        </w:rPr>
      </w:pPr>
      <w:r>
        <w:rPr>
          <w:color w:val="000000" w:themeColor="text1"/>
        </w:rPr>
        <w:t xml:space="preserve">All Academic Consideration requests must include supporting documentation; however, recognizing that formal documentation may not be available in some extenuating circumstances, the policy allows students to make </w:t>
      </w:r>
      <w:r>
        <w:rPr>
          <w:color w:val="000000" w:themeColor="text1"/>
          <w:u w:val="single"/>
        </w:rPr>
        <w:t>one</w:t>
      </w:r>
      <w:r>
        <w:rPr>
          <w:color w:val="000000" w:themeColor="text1"/>
        </w:rPr>
        <w:t xml:space="preserve"> Academic Consideration request </w:t>
      </w:r>
      <w:r>
        <w:rPr>
          <w:b/>
          <w:bCs/>
          <w:color w:val="000000" w:themeColor="text1"/>
        </w:rPr>
        <w:t>without supporting documentation</w:t>
      </w:r>
      <w:r>
        <w:rPr>
          <w:color w:val="000000" w:themeColor="text1"/>
        </w:rPr>
        <w:t xml:space="preserve"> in this course. However, the following assessments are excluded from this, and therefore always require formal supporting documentation:</w:t>
      </w:r>
    </w:p>
    <w:p w14:paraId="11ADD283" w14:textId="77777777" w:rsidR="002B7103" w:rsidRDefault="00CD40B8">
      <w:pPr>
        <w:pStyle w:val="ListParagraph"/>
        <w:numPr>
          <w:ilvl w:val="0"/>
          <w:numId w:val="1"/>
        </w:numPr>
        <w:rPr>
          <w:color w:val="000000"/>
        </w:rPr>
      </w:pPr>
      <w:r>
        <w:rPr>
          <w:rFonts w:ascii="Times New Roman" w:hAnsi="Times New Roman" w:cs="Times New Roman"/>
          <w:color w:val="000000"/>
        </w:rPr>
        <w:lastRenderedPageBreak/>
        <w:t xml:space="preserve">Examinations scheduled during official examination periods </w:t>
      </w:r>
      <w:r>
        <w:rPr>
          <w:rFonts w:ascii="Times New Roman" w:hAnsi="Times New Roman" w:cs="Times New Roman"/>
          <w:color w:val="000000" w:themeColor="text1"/>
        </w:rPr>
        <w:t>(Defined by policy)</w:t>
      </w:r>
    </w:p>
    <w:p w14:paraId="11ADD284" w14:textId="77777777" w:rsidR="002B7103" w:rsidRDefault="002B7103">
      <w:pPr>
        <w:pStyle w:val="ListParagraph"/>
      </w:pPr>
    </w:p>
    <w:p w14:paraId="11ADD285" w14:textId="77777777" w:rsidR="002B7103" w:rsidRDefault="00CD40B8">
      <w:pPr>
        <w:rPr>
          <w:color w:val="000000" w:themeColor="text1"/>
        </w:rPr>
      </w:pPr>
      <w:r>
        <w:rPr>
          <w:color w:val="000000" w:themeColor="text1"/>
        </w:rPr>
        <w:t xml:space="preserve">When a student </w:t>
      </w:r>
      <w:r>
        <w:rPr>
          <w:i/>
          <w:iCs/>
          <w:color w:val="000000" w:themeColor="text1"/>
          <w:u w:val="single"/>
        </w:rPr>
        <w:t>mistakenly</w:t>
      </w:r>
      <w:r>
        <w:rPr>
          <w:color w:val="000000" w:themeColor="text1"/>
        </w:rPr>
        <w:t xml:space="preserve"> submits their </w:t>
      </w:r>
      <w:r>
        <w:rPr>
          <w:color w:val="000000" w:themeColor="text1"/>
          <w:u w:val="single"/>
        </w:rPr>
        <w:t>one</w:t>
      </w:r>
      <w:r>
        <w:rPr>
          <w:color w:val="000000" w:themeColor="text1"/>
        </w:rPr>
        <w:t xml:space="preserve"> allowed Academic Consideration request </w:t>
      </w:r>
      <w:r>
        <w:rPr>
          <w:b/>
          <w:bCs/>
          <w:color w:val="000000" w:themeColor="text1"/>
        </w:rPr>
        <w:t>without supporting documentation</w:t>
      </w:r>
      <w:r>
        <w:rPr>
          <w:color w:val="000000" w:themeColor="text1"/>
        </w:rPr>
        <w:t xml:space="preserve"> for the assessments listed above or those in the</w:t>
      </w:r>
      <w:r>
        <w:t xml:space="preserve"> </w:t>
      </w:r>
      <w:r>
        <w:rPr>
          <w:b/>
          <w:bCs/>
          <w:color w:val="000000" w:themeColor="text1"/>
        </w:rPr>
        <w:t>Coursework with Assessment Flexibility</w:t>
      </w:r>
      <w:r>
        <w:rPr>
          <w:color w:val="000000" w:themeColor="text1"/>
        </w:rPr>
        <w:t xml:space="preserve"> section below, </w:t>
      </w:r>
      <w:r>
        <w:rPr>
          <w:color w:val="000000" w:themeColor="text1"/>
          <w:u w:val="single"/>
        </w:rPr>
        <w:t>the request cannot be recalled and reapplied</w:t>
      </w:r>
      <w:r>
        <w:rPr>
          <w:color w:val="000000" w:themeColor="text1"/>
        </w:rPr>
        <w:t xml:space="preserve">. This privilege is forfeited. </w:t>
      </w:r>
    </w:p>
    <w:p w14:paraId="11ADD286" w14:textId="77777777" w:rsidR="002B7103" w:rsidRDefault="002B7103">
      <w:pPr>
        <w:rPr>
          <w:color w:val="000000" w:themeColor="text1"/>
        </w:rPr>
      </w:pPr>
    </w:p>
    <w:p w14:paraId="11ADD287" w14:textId="77777777" w:rsidR="002B7103" w:rsidRDefault="00CD40B8">
      <w:pPr>
        <w:rPr>
          <w:b/>
          <w:bCs/>
          <w:color w:val="000000" w:themeColor="text1"/>
        </w:rPr>
      </w:pPr>
      <w:r>
        <w:rPr>
          <w:b/>
          <w:bCs/>
          <w:color w:val="000000" w:themeColor="text1"/>
        </w:rPr>
        <w:t>Evaluation Scheme for Missed Assessments</w:t>
      </w:r>
    </w:p>
    <w:p w14:paraId="11ADD288" w14:textId="77777777" w:rsidR="002B7103" w:rsidRDefault="00CD40B8">
      <w:pPr>
        <w:rPr>
          <w:color w:val="007F00"/>
        </w:rPr>
      </w:pPr>
      <w:r>
        <w:t>There are no extensions for any assessment. The weight of any missed assessment will be transferred to the final exam.</w:t>
      </w:r>
    </w:p>
    <w:p w14:paraId="11ADD289" w14:textId="77777777" w:rsidR="002B7103" w:rsidRDefault="002B7103">
      <w:pPr>
        <w:rPr>
          <w:color w:val="007F00"/>
        </w:rPr>
      </w:pPr>
    </w:p>
    <w:p w14:paraId="11ADD28A" w14:textId="77777777" w:rsidR="002B7103" w:rsidRDefault="002B7103">
      <w:pPr>
        <w:rPr>
          <w:color w:val="007F00"/>
        </w:rPr>
      </w:pPr>
    </w:p>
    <w:p w14:paraId="11ADD28B" w14:textId="77777777" w:rsidR="002B7103" w:rsidRDefault="00CD40B8">
      <w:r>
        <w:t xml:space="preserve">When a student misses the Final Exam and their Academic Consideration has been granted, they will be allowed to write the Special Examination (the name given by the University to a makeup Final Exam). </w:t>
      </w:r>
      <w:r>
        <w:rPr>
          <w:bCs/>
        </w:rPr>
        <w:t xml:space="preserve">See the Academic Calendar for details (under </w:t>
      </w:r>
      <w:hyperlink r:id="rId20" w:anchor="SubHeading_70" w:history="1">
        <w:r>
          <w:rPr>
            <w:rStyle w:val="Hyperlink"/>
            <w:rFonts w:cs="Arial (Body CS)"/>
            <w:bCs/>
          </w:rPr>
          <w:t>Special Examinations</w:t>
        </w:r>
      </w:hyperlink>
      <w:r>
        <w:rPr>
          <w:bCs/>
        </w:rPr>
        <w:t xml:space="preserve">), especially for those who miss multiple final exams within one examination period. </w:t>
      </w:r>
    </w:p>
    <w:p w14:paraId="11ADD28C" w14:textId="77777777" w:rsidR="002B7103" w:rsidRDefault="002B7103">
      <w:pPr>
        <w:rPr>
          <w:color w:val="000000" w:themeColor="text1"/>
        </w:rPr>
      </w:pPr>
    </w:p>
    <w:p w14:paraId="11ADD28D" w14:textId="77777777" w:rsidR="002B7103" w:rsidRDefault="00CD40B8">
      <w:pPr>
        <w:rPr>
          <w:b/>
          <w:bCs/>
        </w:rPr>
      </w:pPr>
      <w:r>
        <w:rPr>
          <w:b/>
          <w:bCs/>
        </w:rPr>
        <w:t>Essential Learning Requirements</w:t>
      </w:r>
    </w:p>
    <w:p w14:paraId="11ADD28E" w14:textId="77777777" w:rsidR="002B7103" w:rsidRDefault="00CD40B8">
      <w:pPr>
        <w:rPr>
          <w:bCs/>
          <w:color w:val="007F00"/>
        </w:rPr>
      </w:pPr>
      <w:r>
        <w:rPr>
          <w:color w:val="000000" w:themeColor="text1"/>
        </w:rPr>
        <w:t>Even when Academic Considerations are granted for missed coursework, the following are deemed essential to earn a passing grade:</w:t>
      </w:r>
    </w:p>
    <w:p w14:paraId="11ADD28F" w14:textId="77777777" w:rsidR="002B7103" w:rsidRDefault="002B7103">
      <w:pPr>
        <w:rPr>
          <w:bCs/>
          <w:color w:val="007F00"/>
        </w:rPr>
      </w:pPr>
    </w:p>
    <w:p w14:paraId="11ADD290" w14:textId="77777777" w:rsidR="002B7103" w:rsidRDefault="00CD40B8">
      <w:pPr>
        <w:spacing w:after="60"/>
        <w:ind w:left="634" w:hanging="274"/>
        <w:rPr>
          <w:bCs/>
          <w:color w:val="007F00"/>
        </w:rPr>
      </w:pPr>
      <w:r>
        <w:rPr>
          <w:bCs/>
          <w:color w:val="007F00"/>
        </w:rPr>
        <w:t xml:space="preserve">• </w:t>
      </w:r>
      <w:r>
        <w:t xml:space="preserve">a minimum grade of </w:t>
      </w:r>
      <w:r>
        <w:t>45</w:t>
      </w:r>
      <w:r>
        <w:t xml:space="preserve">% on the final exam. If this requirement is not met, the final grade </w:t>
      </w:r>
      <w:r>
        <w:t>cannot exceed</w:t>
      </w:r>
      <w:r>
        <w:t xml:space="preserve"> 49%.</w:t>
      </w:r>
    </w:p>
    <w:p w14:paraId="11ADD291" w14:textId="77777777" w:rsidR="002B7103" w:rsidRDefault="002B7103">
      <w:pPr>
        <w:rPr>
          <w:b/>
        </w:rPr>
      </w:pPr>
    </w:p>
    <w:p w14:paraId="11ADD292" w14:textId="77777777" w:rsidR="002B7103" w:rsidRDefault="00CD40B8">
      <w:r>
        <w:rPr>
          <w:b/>
          <w:bCs/>
          <w:sz w:val="36"/>
          <w:szCs w:val="36"/>
        </w:rPr>
        <w:t>6. Additional Statements</w:t>
      </w:r>
    </w:p>
    <w:p w14:paraId="11ADD293" w14:textId="77777777" w:rsidR="002B7103" w:rsidRDefault="002B7103">
      <w:pPr>
        <w:ind w:right="-20"/>
        <w:rPr>
          <w:rFonts w:eastAsia="Cambria"/>
          <w:b/>
          <w:bCs/>
          <w:w w:val="105"/>
        </w:rPr>
      </w:pPr>
    </w:p>
    <w:p w14:paraId="11ADD294" w14:textId="77777777" w:rsidR="002B7103" w:rsidRDefault="00CD40B8">
      <w:r>
        <w:rPr>
          <w:b/>
          <w:bCs/>
        </w:rPr>
        <w:t>6.1 Religious Accommodation</w:t>
      </w:r>
    </w:p>
    <w:p w14:paraId="11ADD295" w14:textId="77777777" w:rsidR="002B7103" w:rsidRDefault="00CD40B8">
      <w:pPr>
        <w:spacing w:after="120"/>
      </w:pPr>
      <w:r>
        <w:t xml:space="preserve">When conflicts arise with a religious holiday that requires an absence from the University or prohibits certain activities, students should request an accommodation for their absence in writing to the course instructor and/or the Academic Advising office of their Faculty of Registration. This notice should be made as early as possible, but not later than two weeks prior to the writing of the examination (or one week prior to the writing of the test). </w:t>
      </w:r>
    </w:p>
    <w:p w14:paraId="11ADD296" w14:textId="77777777" w:rsidR="002B7103" w:rsidRDefault="00CD40B8">
      <w:pPr>
        <w:spacing w:after="120"/>
      </w:pPr>
      <w:r>
        <w:t xml:space="preserve">Please visit the Diversity Calendars posted on our university’s EDID website for the recognized religious holidays - </w:t>
      </w:r>
      <w:hyperlink r:id="rId21">
        <w:r>
          <w:rPr>
            <w:rStyle w:val="Hyperlink"/>
            <w:rFonts w:cs="Arial (Body CS)"/>
          </w:rPr>
          <w:t>https://www.edi.uwo.ca</w:t>
        </w:r>
      </w:hyperlink>
    </w:p>
    <w:p w14:paraId="11ADD297" w14:textId="77777777" w:rsidR="002B7103" w:rsidRDefault="002B7103"/>
    <w:p w14:paraId="11ADD298" w14:textId="77777777" w:rsidR="002B7103" w:rsidRDefault="00CD40B8">
      <w:pPr>
        <w:ind w:right="-20"/>
        <w:rPr>
          <w:rFonts w:eastAsia="Cambria"/>
        </w:rPr>
      </w:pPr>
      <w:r>
        <w:rPr>
          <w:rFonts w:eastAsia="Cambria"/>
          <w:b/>
          <w:bCs/>
          <w:w w:val="105"/>
        </w:rPr>
        <w:t>6.2 Academic A</w:t>
      </w:r>
      <w:r>
        <w:rPr>
          <w:rFonts w:eastAsia="Cambria"/>
          <w:b/>
          <w:bCs/>
          <w:spacing w:val="-3"/>
          <w:w w:val="105"/>
        </w:rPr>
        <w:t>c</w:t>
      </w:r>
      <w:r>
        <w:rPr>
          <w:rFonts w:eastAsia="Cambria"/>
          <w:b/>
          <w:bCs/>
          <w:spacing w:val="1"/>
          <w:w w:val="105"/>
        </w:rPr>
        <w:t>c</w:t>
      </w:r>
      <w:r>
        <w:rPr>
          <w:rFonts w:eastAsia="Cambria"/>
          <w:b/>
          <w:bCs/>
          <w:spacing w:val="2"/>
          <w:w w:val="105"/>
        </w:rPr>
        <w:t>ommo</w:t>
      </w:r>
      <w:r>
        <w:rPr>
          <w:rFonts w:eastAsia="Cambria"/>
          <w:b/>
          <w:bCs/>
          <w:w w:val="105"/>
        </w:rPr>
        <w:t>dat</w:t>
      </w:r>
      <w:r>
        <w:rPr>
          <w:rFonts w:eastAsia="Cambria"/>
          <w:b/>
          <w:bCs/>
          <w:spacing w:val="-1"/>
          <w:w w:val="105"/>
        </w:rPr>
        <w:t>i</w:t>
      </w:r>
      <w:r>
        <w:rPr>
          <w:rFonts w:eastAsia="Cambria"/>
          <w:b/>
          <w:bCs/>
          <w:spacing w:val="2"/>
          <w:w w:val="105"/>
        </w:rPr>
        <w:t>o</w:t>
      </w:r>
      <w:r>
        <w:rPr>
          <w:rFonts w:eastAsia="Cambria"/>
          <w:b/>
          <w:bCs/>
          <w:w w:val="105"/>
        </w:rPr>
        <w:t>n</w:t>
      </w:r>
      <w:r>
        <w:rPr>
          <w:rFonts w:eastAsia="Cambria"/>
          <w:b/>
          <w:bCs/>
          <w:spacing w:val="9"/>
          <w:w w:val="105"/>
        </w:rPr>
        <w:t xml:space="preserve"> </w:t>
      </w:r>
      <w:r>
        <w:rPr>
          <w:rFonts w:eastAsia="Cambria"/>
          <w:b/>
          <w:bCs/>
          <w:spacing w:val="1"/>
          <w:w w:val="107"/>
        </w:rPr>
        <w:t>P</w:t>
      </w:r>
      <w:r>
        <w:rPr>
          <w:rFonts w:eastAsia="Cambria"/>
          <w:b/>
          <w:bCs/>
          <w:spacing w:val="-1"/>
          <w:w w:val="107"/>
        </w:rPr>
        <w:t>ol</w:t>
      </w:r>
      <w:r>
        <w:rPr>
          <w:rFonts w:eastAsia="Cambria"/>
          <w:b/>
          <w:bCs/>
          <w:spacing w:val="2"/>
          <w:w w:val="107"/>
        </w:rPr>
        <w:t>i</w:t>
      </w:r>
      <w:r>
        <w:rPr>
          <w:rFonts w:eastAsia="Cambria"/>
          <w:b/>
          <w:bCs/>
          <w:spacing w:val="-1"/>
          <w:w w:val="107"/>
        </w:rPr>
        <w:t>c</w:t>
      </w:r>
      <w:r>
        <w:rPr>
          <w:rFonts w:eastAsia="Cambria"/>
          <w:b/>
          <w:bCs/>
          <w:spacing w:val="2"/>
          <w:w w:val="107"/>
        </w:rPr>
        <w:t>i</w:t>
      </w:r>
      <w:r>
        <w:rPr>
          <w:rFonts w:eastAsia="Cambria"/>
          <w:b/>
          <w:bCs/>
          <w:spacing w:val="-1"/>
          <w:w w:val="107"/>
        </w:rPr>
        <w:t>es</w:t>
      </w:r>
    </w:p>
    <w:p w14:paraId="11ADD299" w14:textId="77777777" w:rsidR="002B7103" w:rsidRDefault="00CD40B8">
      <w:pPr>
        <w:spacing w:before="120" w:after="120"/>
        <w:ind w:right="-14"/>
        <w:rPr>
          <w:rFonts w:eastAsia="Cambria"/>
          <w:spacing w:val="-1"/>
        </w:rPr>
      </w:pPr>
      <w:r>
        <w:rPr>
          <w:rFonts w:eastAsia="Cambria"/>
        </w:rPr>
        <w:t>S</w:t>
      </w:r>
      <w:r>
        <w:rPr>
          <w:rFonts w:eastAsia="Cambria"/>
          <w:spacing w:val="3"/>
        </w:rPr>
        <w:t>t</w:t>
      </w:r>
      <w:r>
        <w:rPr>
          <w:rFonts w:eastAsia="Cambria"/>
          <w:spacing w:val="2"/>
        </w:rPr>
        <w:t>u</w:t>
      </w:r>
      <w:r>
        <w:rPr>
          <w:rFonts w:eastAsia="Cambria"/>
          <w:spacing w:val="1"/>
        </w:rPr>
        <w:t>d</w:t>
      </w:r>
      <w:r>
        <w:rPr>
          <w:rFonts w:eastAsia="Cambria"/>
          <w:spacing w:val="2"/>
        </w:rPr>
        <w:t>e</w:t>
      </w:r>
      <w:r>
        <w:rPr>
          <w:rFonts w:eastAsia="Cambria"/>
          <w:spacing w:val="3"/>
        </w:rPr>
        <w:t>n</w:t>
      </w:r>
      <w:r>
        <w:rPr>
          <w:rFonts w:eastAsia="Cambria"/>
        </w:rPr>
        <w:t>ts</w:t>
      </w:r>
      <w:r>
        <w:rPr>
          <w:rFonts w:eastAsia="Cambria"/>
          <w:spacing w:val="18"/>
        </w:rPr>
        <w:t xml:space="preserve"> </w:t>
      </w:r>
      <w:r>
        <w:rPr>
          <w:rFonts w:eastAsia="Cambria"/>
          <w:spacing w:val="2"/>
        </w:rPr>
        <w:t>wit</w:t>
      </w:r>
      <w:r>
        <w:rPr>
          <w:rFonts w:eastAsia="Cambria"/>
        </w:rPr>
        <w:t>h</w:t>
      </w:r>
      <w:r>
        <w:rPr>
          <w:rFonts w:eastAsia="Cambria"/>
          <w:spacing w:val="10"/>
        </w:rPr>
        <w:t xml:space="preserve"> </w:t>
      </w:r>
      <w:r>
        <w:rPr>
          <w:rFonts w:eastAsia="Cambria"/>
          <w:spacing w:val="1"/>
        </w:rPr>
        <w:t>d</w:t>
      </w:r>
      <w:r>
        <w:rPr>
          <w:rFonts w:eastAsia="Cambria"/>
          <w:spacing w:val="2"/>
        </w:rPr>
        <w:t>i</w:t>
      </w:r>
      <w:r>
        <w:rPr>
          <w:rFonts w:eastAsia="Cambria"/>
          <w:spacing w:val="3"/>
        </w:rPr>
        <w:t>s</w:t>
      </w:r>
      <w:r>
        <w:rPr>
          <w:rFonts w:eastAsia="Cambria"/>
          <w:spacing w:val="-1"/>
        </w:rPr>
        <w:t>a</w:t>
      </w:r>
      <w:r>
        <w:rPr>
          <w:rFonts w:eastAsia="Cambria"/>
          <w:spacing w:val="3"/>
        </w:rPr>
        <w:t>b</w:t>
      </w:r>
      <w:r>
        <w:rPr>
          <w:rFonts w:eastAsia="Cambria"/>
          <w:spacing w:val="-1"/>
        </w:rPr>
        <w:t>i</w:t>
      </w:r>
      <w:r>
        <w:rPr>
          <w:rFonts w:eastAsia="Cambria"/>
          <w:spacing w:val="3"/>
        </w:rPr>
        <w:t>l</w:t>
      </w:r>
      <w:r>
        <w:rPr>
          <w:rFonts w:eastAsia="Cambria"/>
          <w:spacing w:val="-1"/>
        </w:rPr>
        <w:t>i</w:t>
      </w:r>
      <w:r>
        <w:rPr>
          <w:rFonts w:eastAsia="Cambria"/>
          <w:spacing w:val="3"/>
        </w:rPr>
        <w:t>t</w:t>
      </w:r>
      <w:r>
        <w:rPr>
          <w:rFonts w:eastAsia="Cambria"/>
          <w:spacing w:val="2"/>
        </w:rPr>
        <w:t>i</w:t>
      </w:r>
      <w:r>
        <w:rPr>
          <w:rFonts w:eastAsia="Cambria"/>
          <w:spacing w:val="-1"/>
        </w:rPr>
        <w:t>e</w:t>
      </w:r>
      <w:r>
        <w:rPr>
          <w:rFonts w:eastAsia="Cambria"/>
        </w:rPr>
        <w:t>s</w:t>
      </w:r>
      <w:r>
        <w:rPr>
          <w:rFonts w:eastAsia="Cambria"/>
          <w:spacing w:val="23"/>
        </w:rPr>
        <w:t xml:space="preserve"> </w:t>
      </w:r>
      <w:r>
        <w:rPr>
          <w:rFonts w:eastAsia="Cambria"/>
          <w:spacing w:val="-1"/>
        </w:rPr>
        <w:t>are encouraged to contact</w:t>
      </w:r>
      <w:r>
        <w:rPr>
          <w:rFonts w:eastAsia="Cambria"/>
          <w:w w:val="102"/>
        </w:rPr>
        <w:t xml:space="preserve"> </w:t>
      </w:r>
      <w:r>
        <w:rPr>
          <w:rFonts w:eastAsia="Cambria"/>
          <w:spacing w:val="2"/>
        </w:rPr>
        <w:t>Accessible Education,</w:t>
      </w:r>
      <w:r>
        <w:rPr>
          <w:rFonts w:eastAsia="Cambria"/>
          <w:spacing w:val="12"/>
        </w:rPr>
        <w:t xml:space="preserve"> </w:t>
      </w:r>
      <w:r>
        <w:rPr>
          <w:rFonts w:eastAsia="Cambria"/>
          <w:spacing w:val="2"/>
        </w:rPr>
        <w:t>wh</w:t>
      </w:r>
      <w:r>
        <w:rPr>
          <w:rFonts w:eastAsia="Cambria"/>
          <w:spacing w:val="-1"/>
        </w:rPr>
        <w:t>i</w:t>
      </w:r>
      <w:r>
        <w:rPr>
          <w:rFonts w:eastAsia="Cambria"/>
          <w:spacing w:val="3"/>
        </w:rPr>
        <w:t>c</w:t>
      </w:r>
      <w:r>
        <w:rPr>
          <w:rFonts w:eastAsia="Cambria"/>
        </w:rPr>
        <w:t>h</w:t>
      </w:r>
      <w:r>
        <w:rPr>
          <w:rFonts w:eastAsia="Cambria"/>
          <w:spacing w:val="12"/>
        </w:rPr>
        <w:t xml:space="preserve"> </w:t>
      </w:r>
      <w:r>
        <w:rPr>
          <w:rFonts w:eastAsia="Cambria"/>
          <w:spacing w:val="1"/>
        </w:rPr>
        <w:t>pr</w:t>
      </w:r>
      <w:r>
        <w:rPr>
          <w:rFonts w:eastAsia="Cambria"/>
          <w:spacing w:val="3"/>
        </w:rPr>
        <w:t>o</w:t>
      </w:r>
      <w:r>
        <w:rPr>
          <w:rFonts w:eastAsia="Cambria"/>
          <w:spacing w:val="1"/>
        </w:rPr>
        <w:t>v</w:t>
      </w:r>
      <w:r>
        <w:rPr>
          <w:rFonts w:eastAsia="Cambria"/>
          <w:spacing w:val="2"/>
        </w:rPr>
        <w:t>i</w:t>
      </w:r>
      <w:r>
        <w:rPr>
          <w:rFonts w:eastAsia="Cambria"/>
          <w:spacing w:val="1"/>
        </w:rPr>
        <w:t>d</w:t>
      </w:r>
      <w:r>
        <w:rPr>
          <w:rFonts w:eastAsia="Cambria"/>
          <w:spacing w:val="2"/>
        </w:rPr>
        <w:t>e</w:t>
      </w:r>
      <w:r>
        <w:rPr>
          <w:rFonts w:eastAsia="Cambria"/>
        </w:rPr>
        <w:t>s</w:t>
      </w:r>
      <w:r>
        <w:rPr>
          <w:rFonts w:eastAsia="Cambria"/>
          <w:spacing w:val="18"/>
        </w:rPr>
        <w:t xml:space="preserve"> </w:t>
      </w:r>
      <w:r>
        <w:rPr>
          <w:rFonts w:eastAsia="Cambria"/>
          <w:spacing w:val="3"/>
          <w:w w:val="102"/>
        </w:rPr>
        <w:t>r</w:t>
      </w:r>
      <w:r>
        <w:rPr>
          <w:rFonts w:eastAsia="Cambria"/>
          <w:spacing w:val="-1"/>
          <w:w w:val="102"/>
        </w:rPr>
        <w:t>e</w:t>
      </w:r>
      <w:r>
        <w:rPr>
          <w:rFonts w:eastAsia="Cambria"/>
          <w:spacing w:val="1"/>
          <w:w w:val="102"/>
        </w:rPr>
        <w:t>c</w:t>
      </w:r>
      <w:r>
        <w:rPr>
          <w:rFonts w:eastAsia="Cambria"/>
          <w:spacing w:val="3"/>
          <w:w w:val="102"/>
        </w:rPr>
        <w:t>omm</w:t>
      </w:r>
      <w:r>
        <w:rPr>
          <w:rFonts w:eastAsia="Cambria"/>
          <w:spacing w:val="1"/>
          <w:w w:val="102"/>
        </w:rPr>
        <w:t>e</w:t>
      </w:r>
      <w:r>
        <w:rPr>
          <w:rFonts w:eastAsia="Cambria"/>
          <w:spacing w:val="3"/>
          <w:w w:val="102"/>
        </w:rPr>
        <w:t>n</w:t>
      </w:r>
      <w:r>
        <w:rPr>
          <w:rFonts w:eastAsia="Cambria"/>
          <w:spacing w:val="1"/>
          <w:w w:val="102"/>
        </w:rPr>
        <w:t>d</w:t>
      </w:r>
      <w:r>
        <w:rPr>
          <w:rFonts w:eastAsia="Cambria"/>
          <w:spacing w:val="-1"/>
          <w:w w:val="102"/>
        </w:rPr>
        <w:t>a</w:t>
      </w:r>
      <w:r>
        <w:rPr>
          <w:rFonts w:eastAsia="Cambria"/>
          <w:spacing w:val="3"/>
          <w:w w:val="102"/>
        </w:rPr>
        <w:t>t</w:t>
      </w:r>
      <w:r>
        <w:rPr>
          <w:rFonts w:eastAsia="Cambria"/>
          <w:spacing w:val="-1"/>
          <w:w w:val="102"/>
        </w:rPr>
        <w:t>i</w:t>
      </w:r>
      <w:r>
        <w:rPr>
          <w:rFonts w:eastAsia="Cambria"/>
          <w:spacing w:val="3"/>
          <w:w w:val="102"/>
        </w:rPr>
        <w:t>o</w:t>
      </w:r>
      <w:r>
        <w:rPr>
          <w:rFonts w:eastAsia="Cambria"/>
          <w:spacing w:val="1"/>
          <w:w w:val="102"/>
        </w:rPr>
        <w:t>n</w:t>
      </w:r>
      <w:r>
        <w:rPr>
          <w:rFonts w:eastAsia="Cambria"/>
          <w:w w:val="102"/>
        </w:rPr>
        <w:t xml:space="preserve">s </w:t>
      </w:r>
      <w:r>
        <w:rPr>
          <w:rFonts w:eastAsia="Cambria"/>
          <w:spacing w:val="-1"/>
        </w:rPr>
        <w:t>f</w:t>
      </w:r>
      <w:r>
        <w:rPr>
          <w:rFonts w:eastAsia="Cambria"/>
          <w:spacing w:val="1"/>
        </w:rPr>
        <w:t>o</w:t>
      </w:r>
      <w:r>
        <w:rPr>
          <w:rFonts w:eastAsia="Cambria"/>
        </w:rPr>
        <w:t>r</w:t>
      </w:r>
      <w:r>
        <w:rPr>
          <w:rFonts w:eastAsia="Cambria"/>
          <w:spacing w:val="8"/>
        </w:rPr>
        <w:t xml:space="preserve"> </w:t>
      </w:r>
      <w:r>
        <w:rPr>
          <w:rFonts w:eastAsia="Cambria"/>
          <w:spacing w:val="1"/>
        </w:rPr>
        <w:t>ac</w:t>
      </w:r>
      <w:r>
        <w:rPr>
          <w:rFonts w:eastAsia="Cambria"/>
          <w:spacing w:val="3"/>
        </w:rPr>
        <w:t>co</w:t>
      </w:r>
      <w:r>
        <w:rPr>
          <w:rFonts w:eastAsia="Cambria"/>
          <w:spacing w:val="1"/>
        </w:rPr>
        <w:t>m</w:t>
      </w:r>
      <w:r>
        <w:rPr>
          <w:rFonts w:eastAsia="Cambria"/>
          <w:spacing w:val="3"/>
        </w:rPr>
        <w:t>mo</w:t>
      </w:r>
      <w:r>
        <w:rPr>
          <w:rFonts w:eastAsia="Cambria"/>
          <w:spacing w:val="1"/>
        </w:rPr>
        <w:t>da</w:t>
      </w:r>
      <w:r>
        <w:rPr>
          <w:rFonts w:eastAsia="Cambria"/>
        </w:rPr>
        <w:t>t</w:t>
      </w:r>
      <w:r>
        <w:rPr>
          <w:rFonts w:eastAsia="Cambria"/>
          <w:spacing w:val="2"/>
        </w:rPr>
        <w:t>i</w:t>
      </w:r>
      <w:r>
        <w:rPr>
          <w:rFonts w:eastAsia="Cambria"/>
          <w:spacing w:val="1"/>
        </w:rPr>
        <w:t>o</w:t>
      </w:r>
      <w:r>
        <w:rPr>
          <w:rFonts w:eastAsia="Cambria"/>
        </w:rPr>
        <w:t>n</w:t>
      </w:r>
      <w:r>
        <w:rPr>
          <w:rFonts w:eastAsia="Cambria"/>
          <w:spacing w:val="29"/>
        </w:rPr>
        <w:t xml:space="preserve"> </w:t>
      </w:r>
      <w:r>
        <w:rPr>
          <w:rFonts w:eastAsia="Cambria"/>
          <w:spacing w:val="3"/>
        </w:rPr>
        <w:t>b</w:t>
      </w:r>
      <w:r>
        <w:rPr>
          <w:rFonts w:eastAsia="Cambria"/>
          <w:spacing w:val="1"/>
        </w:rPr>
        <w:t>a</w:t>
      </w:r>
      <w:r>
        <w:rPr>
          <w:rFonts w:eastAsia="Cambria"/>
          <w:spacing w:val="3"/>
        </w:rPr>
        <w:t>s</w:t>
      </w:r>
      <w:r>
        <w:rPr>
          <w:rFonts w:eastAsia="Cambria"/>
          <w:spacing w:val="1"/>
        </w:rPr>
        <w:t>e</w:t>
      </w:r>
      <w:r>
        <w:rPr>
          <w:rFonts w:eastAsia="Cambria"/>
        </w:rPr>
        <w:t>d</w:t>
      </w:r>
      <w:r>
        <w:rPr>
          <w:rFonts w:eastAsia="Cambria"/>
          <w:spacing w:val="11"/>
        </w:rPr>
        <w:t xml:space="preserve"> </w:t>
      </w:r>
      <w:r>
        <w:rPr>
          <w:rFonts w:eastAsia="Cambria"/>
          <w:spacing w:val="1"/>
        </w:rPr>
        <w:t>o</w:t>
      </w:r>
      <w:r>
        <w:rPr>
          <w:rFonts w:eastAsia="Cambria"/>
        </w:rPr>
        <w:t>n</w:t>
      </w:r>
      <w:r>
        <w:rPr>
          <w:rFonts w:eastAsia="Cambria"/>
          <w:spacing w:val="8"/>
        </w:rPr>
        <w:t xml:space="preserve"> </w:t>
      </w:r>
      <w:r>
        <w:rPr>
          <w:rFonts w:eastAsia="Cambria"/>
          <w:spacing w:val="3"/>
          <w:w w:val="102"/>
        </w:rPr>
        <w:t>m</w:t>
      </w:r>
      <w:r>
        <w:rPr>
          <w:rFonts w:eastAsia="Cambria"/>
          <w:spacing w:val="1"/>
          <w:w w:val="102"/>
        </w:rPr>
        <w:t>ed</w:t>
      </w:r>
      <w:r>
        <w:rPr>
          <w:rFonts w:eastAsia="Cambria"/>
          <w:spacing w:val="-1"/>
          <w:w w:val="102"/>
        </w:rPr>
        <w:t>i</w:t>
      </w:r>
      <w:r>
        <w:rPr>
          <w:rFonts w:eastAsia="Cambria"/>
          <w:spacing w:val="3"/>
          <w:w w:val="102"/>
        </w:rPr>
        <w:t>c</w:t>
      </w:r>
      <w:r>
        <w:rPr>
          <w:rFonts w:eastAsia="Cambria"/>
          <w:spacing w:val="1"/>
          <w:w w:val="102"/>
        </w:rPr>
        <w:t xml:space="preserve">al </w:t>
      </w:r>
      <w:r>
        <w:rPr>
          <w:rFonts w:eastAsia="Cambria"/>
          <w:spacing w:val="1"/>
        </w:rPr>
        <w:t>do</w:t>
      </w:r>
      <w:r>
        <w:rPr>
          <w:rFonts w:eastAsia="Cambria"/>
          <w:spacing w:val="3"/>
        </w:rPr>
        <w:t>c</w:t>
      </w:r>
      <w:r>
        <w:rPr>
          <w:rFonts w:eastAsia="Cambria"/>
          <w:spacing w:val="2"/>
        </w:rPr>
        <w:t>u</w:t>
      </w:r>
      <w:r>
        <w:rPr>
          <w:rFonts w:eastAsia="Cambria"/>
          <w:spacing w:val="3"/>
        </w:rPr>
        <w:t>m</w:t>
      </w:r>
      <w:r>
        <w:rPr>
          <w:rFonts w:eastAsia="Cambria"/>
          <w:spacing w:val="2"/>
        </w:rPr>
        <w:t>e</w:t>
      </w:r>
      <w:r>
        <w:rPr>
          <w:rFonts w:eastAsia="Cambria"/>
          <w:spacing w:val="1"/>
        </w:rPr>
        <w:t>n</w:t>
      </w:r>
      <w:r>
        <w:rPr>
          <w:rFonts w:eastAsia="Cambria"/>
          <w:spacing w:val="3"/>
        </w:rPr>
        <w:t>t</w:t>
      </w:r>
      <w:r>
        <w:rPr>
          <w:rFonts w:eastAsia="Cambria"/>
          <w:spacing w:val="-1"/>
        </w:rPr>
        <w:t>a</w:t>
      </w:r>
      <w:r>
        <w:rPr>
          <w:rFonts w:eastAsia="Cambria"/>
          <w:spacing w:val="3"/>
        </w:rPr>
        <w:t>t</w:t>
      </w:r>
      <w:r>
        <w:rPr>
          <w:rFonts w:eastAsia="Cambria"/>
          <w:spacing w:val="2"/>
        </w:rPr>
        <w:t>i</w:t>
      </w:r>
      <w:r>
        <w:rPr>
          <w:rFonts w:eastAsia="Cambria"/>
          <w:spacing w:val="1"/>
        </w:rPr>
        <w:t>o</w:t>
      </w:r>
      <w:r>
        <w:rPr>
          <w:rFonts w:eastAsia="Cambria"/>
        </w:rPr>
        <w:t>n</w:t>
      </w:r>
      <w:r>
        <w:rPr>
          <w:rFonts w:eastAsia="Cambria"/>
          <w:spacing w:val="27"/>
        </w:rPr>
        <w:t xml:space="preserve"> </w:t>
      </w:r>
      <w:r>
        <w:rPr>
          <w:rFonts w:eastAsia="Cambria"/>
          <w:spacing w:val="1"/>
        </w:rPr>
        <w:t>o</w:t>
      </w:r>
      <w:r>
        <w:rPr>
          <w:rFonts w:eastAsia="Cambria"/>
        </w:rPr>
        <w:t>r</w:t>
      </w:r>
      <w:r>
        <w:rPr>
          <w:rFonts w:eastAsia="Cambria"/>
          <w:spacing w:val="7"/>
        </w:rPr>
        <w:t xml:space="preserve"> </w:t>
      </w:r>
      <w:r>
        <w:rPr>
          <w:rFonts w:eastAsia="Cambria"/>
          <w:spacing w:val="1"/>
        </w:rPr>
        <w:t>p</w:t>
      </w:r>
      <w:r>
        <w:rPr>
          <w:rFonts w:eastAsia="Cambria"/>
        </w:rPr>
        <w:t>s</w:t>
      </w:r>
      <w:r>
        <w:rPr>
          <w:rFonts w:eastAsia="Cambria"/>
          <w:spacing w:val="3"/>
        </w:rPr>
        <w:t>yc</w:t>
      </w:r>
      <w:r>
        <w:rPr>
          <w:rFonts w:eastAsia="Cambria"/>
          <w:spacing w:val="-1"/>
        </w:rPr>
        <w:t>h</w:t>
      </w:r>
      <w:r>
        <w:rPr>
          <w:rFonts w:eastAsia="Cambria"/>
          <w:spacing w:val="1"/>
        </w:rPr>
        <w:t>o</w:t>
      </w:r>
      <w:r>
        <w:rPr>
          <w:rFonts w:eastAsia="Cambria"/>
          <w:spacing w:val="3"/>
        </w:rPr>
        <w:t>l</w:t>
      </w:r>
      <w:r>
        <w:rPr>
          <w:rFonts w:eastAsia="Cambria"/>
          <w:spacing w:val="1"/>
        </w:rPr>
        <w:t>o</w:t>
      </w:r>
      <w:r>
        <w:rPr>
          <w:rFonts w:eastAsia="Cambria"/>
          <w:spacing w:val="3"/>
        </w:rPr>
        <w:t>g</w:t>
      </w:r>
      <w:r>
        <w:rPr>
          <w:rFonts w:eastAsia="Cambria"/>
          <w:spacing w:val="-1"/>
        </w:rPr>
        <w:t>i</w:t>
      </w:r>
      <w:r>
        <w:rPr>
          <w:rFonts w:eastAsia="Cambria"/>
          <w:spacing w:val="3"/>
        </w:rPr>
        <w:t>c</w:t>
      </w:r>
      <w:r>
        <w:rPr>
          <w:rFonts w:eastAsia="Cambria"/>
          <w:spacing w:val="-1"/>
        </w:rPr>
        <w:t>a</w:t>
      </w:r>
      <w:r>
        <w:rPr>
          <w:rFonts w:eastAsia="Cambria"/>
        </w:rPr>
        <w:t>l</w:t>
      </w:r>
      <w:r>
        <w:rPr>
          <w:rFonts w:eastAsia="Cambria"/>
          <w:spacing w:val="25"/>
        </w:rPr>
        <w:t xml:space="preserve"> </w:t>
      </w:r>
      <w:r>
        <w:rPr>
          <w:rFonts w:eastAsia="Cambria"/>
          <w:spacing w:val="1"/>
          <w:w w:val="102"/>
        </w:rPr>
        <w:t>a</w:t>
      </w:r>
      <w:r>
        <w:rPr>
          <w:rFonts w:eastAsia="Cambria"/>
          <w:spacing w:val="3"/>
          <w:w w:val="102"/>
        </w:rPr>
        <w:t>n</w:t>
      </w:r>
      <w:r>
        <w:rPr>
          <w:rFonts w:eastAsia="Cambria"/>
          <w:w w:val="102"/>
        </w:rPr>
        <w:t xml:space="preserve">d </w:t>
      </w:r>
      <w:r>
        <w:rPr>
          <w:rFonts w:eastAsia="Cambria"/>
          <w:spacing w:val="1"/>
        </w:rPr>
        <w:t>co</w:t>
      </w:r>
      <w:r>
        <w:rPr>
          <w:rFonts w:eastAsia="Cambria"/>
          <w:spacing w:val="3"/>
        </w:rPr>
        <w:t>g</w:t>
      </w:r>
      <w:r>
        <w:rPr>
          <w:rFonts w:eastAsia="Cambria"/>
          <w:spacing w:val="1"/>
        </w:rPr>
        <w:t>n</w:t>
      </w:r>
      <w:r>
        <w:rPr>
          <w:rFonts w:eastAsia="Cambria"/>
          <w:spacing w:val="2"/>
        </w:rPr>
        <w:t>i</w:t>
      </w:r>
      <w:r>
        <w:rPr>
          <w:rFonts w:eastAsia="Cambria"/>
          <w:spacing w:val="3"/>
        </w:rPr>
        <w:t>t</w:t>
      </w:r>
      <w:r>
        <w:rPr>
          <w:rFonts w:eastAsia="Cambria"/>
          <w:spacing w:val="-1"/>
        </w:rPr>
        <w:t>i</w:t>
      </w:r>
      <w:r>
        <w:rPr>
          <w:rFonts w:eastAsia="Cambria"/>
          <w:spacing w:val="3"/>
        </w:rPr>
        <w:t>v</w:t>
      </w:r>
      <w:r>
        <w:rPr>
          <w:rFonts w:eastAsia="Cambria"/>
        </w:rPr>
        <w:t>e</w:t>
      </w:r>
      <w:r>
        <w:rPr>
          <w:rFonts w:eastAsia="Cambria"/>
          <w:spacing w:val="17"/>
        </w:rPr>
        <w:t xml:space="preserve"> </w:t>
      </w:r>
      <w:r>
        <w:rPr>
          <w:rFonts w:eastAsia="Cambria"/>
          <w:spacing w:val="3"/>
        </w:rPr>
        <w:t>t</w:t>
      </w:r>
      <w:r>
        <w:rPr>
          <w:rFonts w:eastAsia="Cambria"/>
          <w:spacing w:val="-1"/>
        </w:rPr>
        <w:t>e</w:t>
      </w:r>
      <w:r>
        <w:rPr>
          <w:rFonts w:eastAsia="Cambria"/>
        </w:rPr>
        <w:t>s</w:t>
      </w:r>
      <w:r>
        <w:rPr>
          <w:rFonts w:eastAsia="Cambria"/>
          <w:spacing w:val="3"/>
        </w:rPr>
        <w:t>t</w:t>
      </w:r>
      <w:r>
        <w:rPr>
          <w:rFonts w:eastAsia="Cambria"/>
          <w:spacing w:val="2"/>
        </w:rPr>
        <w:t>i</w:t>
      </w:r>
      <w:r>
        <w:rPr>
          <w:rFonts w:eastAsia="Cambria"/>
          <w:spacing w:val="1"/>
        </w:rPr>
        <w:t>n</w:t>
      </w:r>
      <w:r>
        <w:rPr>
          <w:rFonts w:eastAsia="Cambria"/>
        </w:rPr>
        <w:t xml:space="preserve">g. </w:t>
      </w:r>
      <w:r>
        <w:rPr>
          <w:rFonts w:eastAsia="Cambria"/>
          <w:spacing w:val="15"/>
        </w:rPr>
        <w:t xml:space="preserve"> </w:t>
      </w:r>
      <w:r>
        <w:rPr>
          <w:rFonts w:eastAsia="Cambria"/>
          <w:spacing w:val="1"/>
        </w:rPr>
        <w:t>T</w:t>
      </w:r>
      <w:r>
        <w:rPr>
          <w:rFonts w:eastAsia="Cambria"/>
          <w:spacing w:val="2"/>
        </w:rPr>
        <w:t>h</w:t>
      </w:r>
      <w:r>
        <w:rPr>
          <w:rFonts w:eastAsia="Cambria"/>
        </w:rPr>
        <w:t>e policy on</w:t>
      </w:r>
      <w:r>
        <w:rPr>
          <w:rFonts w:eastAsia="Cambria"/>
          <w:spacing w:val="11"/>
        </w:rPr>
        <w:t xml:space="preserve"> </w:t>
      </w:r>
      <w:r>
        <w:rPr>
          <w:rFonts w:eastAsia="Cambria"/>
          <w:spacing w:val="-1"/>
          <w:w w:val="102"/>
        </w:rPr>
        <w:t xml:space="preserve">Academic Accommodation for Students with Disabilities </w:t>
      </w:r>
      <w:r>
        <w:rPr>
          <w:rFonts w:eastAsia="Cambria"/>
          <w:spacing w:val="3"/>
        </w:rPr>
        <w:t>c</w:t>
      </w:r>
      <w:r>
        <w:rPr>
          <w:rFonts w:eastAsia="Cambria"/>
          <w:spacing w:val="-1"/>
        </w:rPr>
        <w:t>a</w:t>
      </w:r>
      <w:r>
        <w:rPr>
          <w:rFonts w:eastAsia="Cambria"/>
        </w:rPr>
        <w:t>n</w:t>
      </w:r>
      <w:r>
        <w:rPr>
          <w:rFonts w:eastAsia="Cambria"/>
          <w:spacing w:val="9"/>
        </w:rPr>
        <w:t xml:space="preserve"> </w:t>
      </w:r>
      <w:r>
        <w:rPr>
          <w:rFonts w:eastAsia="Cambria"/>
          <w:spacing w:val="3"/>
        </w:rPr>
        <w:t>b</w:t>
      </w:r>
      <w:r>
        <w:rPr>
          <w:rFonts w:eastAsia="Cambria"/>
        </w:rPr>
        <w:t>e</w:t>
      </w:r>
      <w:r>
        <w:rPr>
          <w:rFonts w:eastAsia="Cambria"/>
          <w:spacing w:val="7"/>
        </w:rPr>
        <w:t xml:space="preserve"> </w:t>
      </w:r>
      <w:r>
        <w:rPr>
          <w:rFonts w:eastAsia="Cambria"/>
          <w:spacing w:val="2"/>
        </w:rPr>
        <w:t>f</w:t>
      </w:r>
      <w:r>
        <w:rPr>
          <w:rFonts w:eastAsia="Cambria"/>
          <w:spacing w:val="3"/>
        </w:rPr>
        <w:t>o</w:t>
      </w:r>
      <w:r>
        <w:rPr>
          <w:rFonts w:eastAsia="Cambria"/>
          <w:spacing w:val="-1"/>
        </w:rPr>
        <w:t>u</w:t>
      </w:r>
      <w:r>
        <w:rPr>
          <w:rFonts w:eastAsia="Cambria"/>
          <w:spacing w:val="3"/>
        </w:rPr>
        <w:t>n</w:t>
      </w:r>
      <w:r>
        <w:rPr>
          <w:rFonts w:eastAsia="Cambria"/>
        </w:rPr>
        <w:t>d</w:t>
      </w:r>
      <w:r>
        <w:rPr>
          <w:rFonts w:eastAsia="Cambria"/>
          <w:spacing w:val="2"/>
          <w:w w:val="102"/>
        </w:rPr>
        <w:t xml:space="preserve"> at</w:t>
      </w:r>
      <w:r>
        <w:rPr>
          <w:rFonts w:eastAsia="Cambria"/>
          <w:spacing w:val="-1"/>
        </w:rPr>
        <w:t>:</w:t>
      </w:r>
    </w:p>
    <w:p w14:paraId="11ADD29A" w14:textId="77777777" w:rsidR="002B7103" w:rsidRDefault="00CD40B8">
      <w:pPr>
        <w:ind w:left="360" w:right="-13"/>
        <w:rPr>
          <w:rFonts w:eastAsia="Cambria" w:cs="Arial (Body CS)"/>
          <w:color w:val="0432FF"/>
          <w:sz w:val="23"/>
          <w:szCs w:val="23"/>
        </w:rPr>
      </w:pPr>
      <w:hyperlink r:id="rId22">
        <w:r>
          <w:rPr>
            <w:rStyle w:val="Hyperlink"/>
            <w:rFonts w:eastAsia="Cambria" w:cs="Arial (Body CS)"/>
            <w:sz w:val="23"/>
            <w:szCs w:val="23"/>
          </w:rPr>
          <w:t>https://www.uwo.ca/univsec/pdf/academic_policies/appeals/Academic Accommodation_disabilities.pdf</w:t>
        </w:r>
      </w:hyperlink>
      <w:r>
        <w:rPr>
          <w:rFonts w:eastAsia="Cambria" w:cs="Arial (Body CS)"/>
          <w:color w:val="000000" w:themeColor="text1"/>
          <w:sz w:val="23"/>
          <w:szCs w:val="23"/>
        </w:rPr>
        <w:t>.</w:t>
      </w:r>
      <w:r>
        <w:rPr>
          <w:rFonts w:eastAsia="Cambria" w:cs="Arial (Body CS)"/>
          <w:color w:val="0432FF"/>
          <w:sz w:val="23"/>
          <w:szCs w:val="23"/>
        </w:rPr>
        <w:t xml:space="preserve"> </w:t>
      </w:r>
    </w:p>
    <w:p w14:paraId="11ADD29B" w14:textId="77777777" w:rsidR="002B7103" w:rsidRDefault="002B7103">
      <w:pPr>
        <w:rPr>
          <w:b/>
        </w:rPr>
      </w:pPr>
    </w:p>
    <w:p w14:paraId="11ADD29C" w14:textId="77777777" w:rsidR="002B7103" w:rsidRDefault="00CD40B8">
      <w:pPr>
        <w:ind w:right="-20"/>
        <w:rPr>
          <w:rFonts w:eastAsia="Cambria"/>
        </w:rPr>
      </w:pPr>
      <w:r>
        <w:rPr>
          <w:rFonts w:eastAsia="Cambria"/>
          <w:b/>
          <w:bCs/>
          <w:w w:val="105"/>
        </w:rPr>
        <w:t>6.3 General Academic</w:t>
      </w:r>
      <w:r>
        <w:rPr>
          <w:rFonts w:eastAsia="Cambria"/>
          <w:b/>
          <w:bCs/>
          <w:spacing w:val="9"/>
          <w:w w:val="105"/>
        </w:rPr>
        <w:t xml:space="preserve"> </w:t>
      </w:r>
      <w:r>
        <w:rPr>
          <w:rFonts w:eastAsia="Cambria"/>
          <w:b/>
          <w:bCs/>
          <w:spacing w:val="1"/>
          <w:w w:val="107"/>
        </w:rPr>
        <w:t>P</w:t>
      </w:r>
      <w:r>
        <w:rPr>
          <w:rFonts w:eastAsia="Cambria"/>
          <w:b/>
          <w:bCs/>
          <w:spacing w:val="-1"/>
          <w:w w:val="107"/>
        </w:rPr>
        <w:t>ol</w:t>
      </w:r>
      <w:r>
        <w:rPr>
          <w:rFonts w:eastAsia="Cambria"/>
          <w:b/>
          <w:bCs/>
          <w:spacing w:val="2"/>
          <w:w w:val="107"/>
        </w:rPr>
        <w:t>i</w:t>
      </w:r>
      <w:r>
        <w:rPr>
          <w:rFonts w:eastAsia="Cambria"/>
          <w:b/>
          <w:bCs/>
          <w:spacing w:val="-1"/>
          <w:w w:val="107"/>
        </w:rPr>
        <w:t>c</w:t>
      </w:r>
      <w:r>
        <w:rPr>
          <w:rFonts w:eastAsia="Cambria"/>
          <w:b/>
          <w:bCs/>
          <w:spacing w:val="2"/>
          <w:w w:val="107"/>
        </w:rPr>
        <w:t>i</w:t>
      </w:r>
      <w:r>
        <w:rPr>
          <w:rFonts w:eastAsia="Cambria"/>
          <w:b/>
          <w:bCs/>
          <w:spacing w:val="-1"/>
          <w:w w:val="107"/>
        </w:rPr>
        <w:t>es</w:t>
      </w:r>
    </w:p>
    <w:p w14:paraId="11ADD29D" w14:textId="77777777" w:rsidR="002B7103" w:rsidRDefault="00CD40B8">
      <w:r>
        <w:t xml:space="preserve">The website for Registrar Services is </w:t>
      </w:r>
      <w:hyperlink r:id="rId23">
        <w:r>
          <w:rPr>
            <w:rStyle w:val="Hyperlink"/>
            <w:rFonts w:cs="Arial (Body CS)"/>
          </w:rPr>
          <w:t>https://www.registrar.uwo.ca/</w:t>
        </w:r>
      </w:hyperlink>
      <w:r>
        <w:t xml:space="preserve">. </w:t>
      </w:r>
    </w:p>
    <w:p w14:paraId="11ADD29E" w14:textId="77777777" w:rsidR="002B7103" w:rsidRDefault="00CD40B8">
      <w:pPr>
        <w:spacing w:before="120"/>
      </w:pPr>
      <w:r>
        <w:rPr>
          <w:b/>
          <w:bCs/>
        </w:rPr>
        <w:t>Use of @uwo.ca email:</w:t>
      </w:r>
      <w:r>
        <w:t xml:space="preserve"> In accordance with policy, </w:t>
      </w:r>
      <w:hyperlink r:id="rId24">
        <w:r>
          <w:rPr>
            <w:rStyle w:val="Hyperlink"/>
          </w:rPr>
          <w:t>https://www.uwo.ca/univsec/pdf/policies_procedures/section1/mapp113.pdf</w:t>
        </w:r>
      </w:hyperlink>
      <w:r>
        <w:rPr>
          <w:color w:val="000000" w:themeColor="text1"/>
        </w:rPr>
        <w:t>,</w:t>
      </w:r>
      <w:r>
        <w:t xml:space="preserve"> the centrally administered </w:t>
      </w:r>
      <w:r>
        <w:lastRenderedPageBreak/>
        <w:t>e-mail account provided to students will be considered the individual’s official university email address.  It is the responsibility of the account holder to ensure that emails received from the University at their official university address are attended to in a timely manner.</w:t>
      </w:r>
    </w:p>
    <w:p w14:paraId="11ADD29F" w14:textId="77777777" w:rsidR="002B7103" w:rsidRDefault="00CD40B8">
      <w:pPr>
        <w:spacing w:before="120"/>
      </w:pPr>
      <w:r>
        <w:rPr>
          <w:b/>
          <w:bCs/>
        </w:rPr>
        <w:t>Requests for Relief</w:t>
      </w:r>
      <w:r>
        <w:t xml:space="preserve"> (formally known as “appeals”)</w:t>
      </w:r>
    </w:p>
    <w:p w14:paraId="11ADD2A0" w14:textId="77777777" w:rsidR="002B7103" w:rsidRDefault="00CD40B8">
      <w:pPr>
        <w:spacing w:before="120"/>
      </w:pPr>
      <w:r>
        <w:t>Policy on Request for Relief from Academic Decision:</w:t>
      </w:r>
    </w:p>
    <w:p w14:paraId="11ADD2A1" w14:textId="77777777" w:rsidR="002B7103" w:rsidRDefault="00CD40B8">
      <w:hyperlink r:id="rId25">
        <w:r>
          <w:rPr>
            <w:rStyle w:val="Hyperlink"/>
          </w:rPr>
          <w:t>https://uwo.ca/univsec//pdf/academic_policies/appeals/requests_for_relief_from_academic_decisions.pdf</w:t>
        </w:r>
      </w:hyperlink>
      <w:r>
        <w:t xml:space="preserve"> </w:t>
      </w:r>
    </w:p>
    <w:p w14:paraId="11ADD2A2" w14:textId="77777777" w:rsidR="002B7103" w:rsidRDefault="00CD40B8">
      <w:pPr>
        <w:spacing w:before="120"/>
      </w:pPr>
      <w:r>
        <w:t>Procedures on Request for Relief from Academic Decision (Undergraduate):</w:t>
      </w:r>
    </w:p>
    <w:p w14:paraId="11ADD2A3" w14:textId="77777777" w:rsidR="002B7103" w:rsidRDefault="00CD40B8">
      <w:hyperlink r:id="rId26">
        <w:r>
          <w:rPr>
            <w:rStyle w:val="Hyperlink"/>
          </w:rPr>
          <w:t>https://uwo.ca/univsec//pdf/academic_policies/appeals/undergrad_requests_for_relief_procedure.pdf</w:t>
        </w:r>
      </w:hyperlink>
      <w:r>
        <w:t xml:space="preserve"> </w:t>
      </w:r>
    </w:p>
    <w:p w14:paraId="11ADD2A4" w14:textId="77777777" w:rsidR="002B7103" w:rsidRDefault="00CD40B8">
      <w:pPr>
        <w:spacing w:before="120"/>
      </w:pPr>
      <w:r>
        <w:t>Procedures on Request for Relief from Academic Decision (Graduate):</w:t>
      </w:r>
    </w:p>
    <w:p w14:paraId="11ADD2A5" w14:textId="77777777" w:rsidR="002B7103" w:rsidRDefault="00CD40B8">
      <w:hyperlink r:id="rId27">
        <w:r>
          <w:rPr>
            <w:rStyle w:val="Hyperlink"/>
          </w:rPr>
          <w:t>https://uwo.ca/univsec//pdf/academic_policies/appeals/graduate_requests_for_relief_procedure.pdf</w:t>
        </w:r>
      </w:hyperlink>
      <w:r>
        <w:t xml:space="preserve"> </w:t>
      </w:r>
    </w:p>
    <w:p w14:paraId="11ADD2A6" w14:textId="77777777" w:rsidR="002B7103" w:rsidRDefault="002B7103"/>
    <w:p w14:paraId="11ADD2A7" w14:textId="77777777" w:rsidR="002B7103" w:rsidRDefault="00CD40B8">
      <w:pPr>
        <w:spacing w:after="120"/>
      </w:pPr>
      <w:r>
        <w:rPr>
          <w:b/>
          <w:bCs/>
        </w:rPr>
        <w:t>6.4 Scholastic Offences</w:t>
      </w:r>
      <w:r>
        <w:t xml:space="preserve"> </w:t>
      </w:r>
    </w:p>
    <w:p w14:paraId="11ADD2A8" w14:textId="77777777" w:rsidR="002B7103" w:rsidRDefault="00CD40B8">
      <w:pPr>
        <w:spacing w:after="120"/>
      </w:pPr>
      <w:r>
        <w:t xml:space="preserve">Policy on Scholastic Offences: </w:t>
      </w:r>
      <w:hyperlink r:id="rId28">
        <w:r>
          <w:rPr>
            <w:rStyle w:val="Hyperlink"/>
          </w:rPr>
          <w:t>https://uwo.ca/univsec//pdf/academic_policies/appeals/scholastic_offences.pdf</w:t>
        </w:r>
      </w:hyperlink>
    </w:p>
    <w:p w14:paraId="11ADD2A9" w14:textId="77777777" w:rsidR="002B7103" w:rsidRDefault="00CD40B8">
      <w:r>
        <w:t>Procedures on Scholastic Offences:</w:t>
      </w:r>
    </w:p>
    <w:p w14:paraId="11ADD2AA" w14:textId="77777777" w:rsidR="002B7103" w:rsidRDefault="00CD40B8">
      <w:hyperlink r:id="rId29">
        <w:r>
          <w:rPr>
            <w:rStyle w:val="Hyperlink"/>
          </w:rPr>
          <w:t>https://uwo.ca/univsec//pdf/academic_policies/appeals/undergrad_scholastic_offence_procedure.pdf</w:t>
        </w:r>
      </w:hyperlink>
    </w:p>
    <w:p w14:paraId="11ADD2AB" w14:textId="77777777" w:rsidR="002B7103" w:rsidRDefault="002B7103">
      <w:pPr>
        <w:rPr>
          <w:b/>
          <w:bCs/>
        </w:rPr>
      </w:pPr>
    </w:p>
    <w:p w14:paraId="11ADD2AC" w14:textId="77777777" w:rsidR="002B7103" w:rsidRDefault="00CD40B8">
      <w:r>
        <w:rPr>
          <w:b/>
          <w:bCs/>
        </w:rPr>
        <w:t>Use of Electronic Devices During Assessments</w:t>
      </w:r>
    </w:p>
    <w:p w14:paraId="11ADD2AD" w14:textId="77777777" w:rsidR="002B7103" w:rsidRDefault="00CD40B8">
      <w:pPr>
        <w:spacing w:before="120"/>
      </w:pPr>
      <w:r>
        <w:t xml:space="preserve">In courses offered by the Faculty of Science, the possession of unauthorized electronic devices during any in-person assessment (such as tests, midterms, and final examinations) is strictly prohibited. This includes, but is not limited </w:t>
      </w:r>
      <w:proofErr w:type="gramStart"/>
      <w:r>
        <w:t>to:</w:t>
      </w:r>
      <w:proofErr w:type="gramEnd"/>
      <w:r>
        <w:t xml:space="preserve"> mobile phones, smart watches, smart glasses, and wireless earbuds or headphones.</w:t>
      </w:r>
    </w:p>
    <w:p w14:paraId="11ADD2AE" w14:textId="77777777" w:rsidR="002B7103" w:rsidRDefault="00CD40B8">
      <w:pPr>
        <w:spacing w:before="120"/>
      </w:pPr>
      <w:r>
        <w:t>Unless explicitly stated otherwise in advance by the instructor, the presence of any such device at your desk, on your person, or within reach during an assessment will be treated as a </w:t>
      </w:r>
      <w:r>
        <w:rPr>
          <w:i/>
          <w:iCs/>
        </w:rPr>
        <w:t>scholastic offence</w:t>
      </w:r>
      <w:r>
        <w:t>, even if the device is not in use.</w:t>
      </w:r>
    </w:p>
    <w:p w14:paraId="11ADD2AF" w14:textId="77777777" w:rsidR="002B7103" w:rsidRDefault="00CD40B8">
      <w:pPr>
        <w:spacing w:before="120"/>
      </w:pPr>
      <w:r>
        <w:t>Only devices expressly permitted by the instructor (e.g., non-programmable calculators) may be brought into the assessment room. It is your responsibility to review and comply with these expectations.</w:t>
      </w:r>
    </w:p>
    <w:p w14:paraId="11ADD2B0" w14:textId="77777777" w:rsidR="002B7103" w:rsidRDefault="002B7103">
      <w:pPr>
        <w:rPr>
          <w:color w:val="000000" w:themeColor="text1"/>
        </w:rPr>
      </w:pPr>
    </w:p>
    <w:p w14:paraId="11ADD2B1" w14:textId="77777777" w:rsidR="002B7103" w:rsidRDefault="00CD40B8">
      <w:pPr>
        <w:rPr>
          <w:color w:val="000000" w:themeColor="text1"/>
        </w:rPr>
      </w:pPr>
      <w:r>
        <w:rPr>
          <w:b/>
          <w:bCs/>
          <w:color w:val="000000" w:themeColor="text1"/>
        </w:rPr>
        <w:t>Use of Generative AI Tools</w:t>
      </w:r>
    </w:p>
    <w:p w14:paraId="11ADD2B2" w14:textId="77777777" w:rsidR="002B7103" w:rsidRDefault="00CD40B8">
      <w:pPr>
        <w:spacing w:before="120"/>
        <w:rPr>
          <w:color w:val="000000" w:themeColor="text1"/>
        </w:rPr>
      </w:pPr>
      <w:r>
        <w:rPr>
          <w:color w:val="000000" w:themeColor="text1"/>
        </w:rPr>
        <w:t>T</w:t>
      </w:r>
      <w:r>
        <w:rPr>
          <w:color w:val="000000" w:themeColor="text1"/>
        </w:rPr>
        <w:t>he use of generative AI tools (e.g., ChatGPT, Microsoft Copilot, Google Gemini, or similar platforms) is </w:t>
      </w:r>
      <w:r>
        <w:rPr>
          <w:b/>
          <w:bCs/>
          <w:color w:val="000000" w:themeColor="text1"/>
        </w:rPr>
        <w:t>not permitted</w:t>
      </w:r>
      <w:r>
        <w:rPr>
          <w:color w:val="000000" w:themeColor="text1"/>
        </w:rPr>
        <w:t xml:space="preserve"> in the completion of any course assessments, including but not limited </w:t>
      </w:r>
      <w:proofErr w:type="gramStart"/>
      <w:r>
        <w:rPr>
          <w:color w:val="000000" w:themeColor="text1"/>
        </w:rPr>
        <w:t>to:</w:t>
      </w:r>
      <w:proofErr w:type="gramEnd"/>
      <w:r>
        <w:rPr>
          <w:color w:val="000000" w:themeColor="text1"/>
        </w:rPr>
        <w:t xml:space="preserve"> assignments, lab reports, presentations, tests, and final examinations.</w:t>
      </w:r>
    </w:p>
    <w:p w14:paraId="11ADD2B3" w14:textId="77777777" w:rsidR="002B7103" w:rsidRDefault="00CD40B8">
      <w:pPr>
        <w:spacing w:before="120"/>
        <w:rPr>
          <w:color w:val="000000" w:themeColor="text1"/>
        </w:rPr>
      </w:pPr>
      <w:r>
        <w:rPr>
          <w:color w:val="000000" w:themeColor="text1"/>
        </w:rPr>
        <w:t>Using such tools for content generation, code writing, problem solving, translation, or summarization—when not explicitly allowed—will be treated as a </w:t>
      </w:r>
      <w:r>
        <w:rPr>
          <w:b/>
          <w:bCs/>
          <w:color w:val="000000" w:themeColor="text1"/>
        </w:rPr>
        <w:t>scholastic offence</w:t>
      </w:r>
      <w:r>
        <w:rPr>
          <w:color w:val="000000" w:themeColor="text1"/>
        </w:rPr>
        <w:t>.</w:t>
      </w:r>
    </w:p>
    <w:p w14:paraId="11ADD2B4" w14:textId="77777777" w:rsidR="002B7103" w:rsidRDefault="00CD40B8">
      <w:pPr>
        <w:spacing w:before="120"/>
        <w:rPr>
          <w:color w:val="000000" w:themeColor="text1"/>
        </w:rPr>
      </w:pPr>
      <w:r>
        <w:rPr>
          <w:color w:val="000000" w:themeColor="text1"/>
        </w:rPr>
        <w:t>If the use of generative AI is permitted for a particular assessment, the conditions of use will be specified by the instructor in advance. If no such permission is granted, students must assume that use is prohibited. It is your responsibility to seek clarification before using any AI tools in academic work.</w:t>
      </w:r>
    </w:p>
    <w:p w14:paraId="11ADD2B5" w14:textId="77777777" w:rsidR="002B7103" w:rsidRDefault="002B7103">
      <w:pPr>
        <w:rPr>
          <w:color w:val="007F00"/>
        </w:rPr>
      </w:pPr>
    </w:p>
    <w:p w14:paraId="11ADD2B6" w14:textId="77777777" w:rsidR="002B7103" w:rsidRDefault="00CD40B8">
      <w:pPr>
        <w:spacing w:after="120"/>
        <w:rPr>
          <w:bCs/>
          <w:color w:val="000000" w:themeColor="text1"/>
        </w:rPr>
      </w:pPr>
      <w:r>
        <w:rPr>
          <w:bCs/>
          <w:color w:val="000000" w:themeColor="text1"/>
        </w:rPr>
        <w:t>In the event of a health lockdown, tests and examinations in this course will be conducted using a remote proctoring service.  By taking this course, you are consenting to the use of this software and acknowledge that you will be required to provide </w:t>
      </w:r>
      <w:r>
        <w:rPr>
          <w:b/>
          <w:bCs/>
          <w:color w:val="000000" w:themeColor="text1"/>
        </w:rPr>
        <w:t>personal information</w:t>
      </w:r>
      <w:r>
        <w:rPr>
          <w:bCs/>
          <w:color w:val="000000" w:themeColor="text1"/>
        </w:rPr>
        <w:t> (including some biometric data</w:t>
      </w:r>
      <w:proofErr w:type="gramStart"/>
      <w:r>
        <w:rPr>
          <w:bCs/>
          <w:color w:val="000000" w:themeColor="text1"/>
        </w:rPr>
        <w:t>)</w:t>
      </w:r>
      <w:proofErr w:type="gramEnd"/>
      <w:r>
        <w:rPr>
          <w:bCs/>
          <w:color w:val="000000" w:themeColor="text1"/>
        </w:rPr>
        <w:t xml:space="preserve"> and the session will be </w:t>
      </w:r>
      <w:r>
        <w:rPr>
          <w:b/>
          <w:bCs/>
          <w:color w:val="000000" w:themeColor="text1"/>
        </w:rPr>
        <w:t>recorded</w:t>
      </w:r>
      <w:r>
        <w:rPr>
          <w:bCs/>
          <w:color w:val="000000" w:themeColor="text1"/>
        </w:rPr>
        <w:t xml:space="preserve">.  Completion of this course will require you to have a reliable internet connection and a device that meets the technical requirements for this service.  More information about </w:t>
      </w:r>
      <w:r>
        <w:rPr>
          <w:bCs/>
          <w:color w:val="000000" w:themeColor="text1"/>
        </w:rPr>
        <w:lastRenderedPageBreak/>
        <w:t>this remote proctoring service, including technical requirements, is available on Western’s Remote Proctoring website at:</w:t>
      </w:r>
    </w:p>
    <w:p w14:paraId="11ADD2B7" w14:textId="77777777" w:rsidR="002B7103" w:rsidRDefault="00CD40B8">
      <w:pPr>
        <w:ind w:left="360"/>
        <w:rPr>
          <w:bCs/>
          <w:color w:val="000000" w:themeColor="text1"/>
        </w:rPr>
      </w:pPr>
      <w:hyperlink r:id="rId30">
        <w:r>
          <w:rPr>
            <w:rStyle w:val="Hyperlink"/>
            <w:bCs/>
          </w:rPr>
          <w:t>https://remoteproctoring.uwo.ca</w:t>
        </w:r>
      </w:hyperlink>
      <w:r>
        <w:rPr>
          <w:bCs/>
          <w:color w:val="000000" w:themeColor="text1"/>
        </w:rPr>
        <w:t>.</w:t>
      </w:r>
    </w:p>
    <w:p w14:paraId="11ADD2B8" w14:textId="77777777" w:rsidR="002B7103" w:rsidRDefault="002B7103">
      <w:pPr>
        <w:rPr>
          <w:b/>
          <w:bCs/>
          <w:color w:val="FF0000"/>
        </w:rPr>
      </w:pPr>
    </w:p>
    <w:p w14:paraId="11ADD2B9" w14:textId="77777777" w:rsidR="002B7103" w:rsidRDefault="00CD40B8">
      <w:pPr>
        <w:ind w:right="-20"/>
        <w:rPr>
          <w:rFonts w:eastAsia="Cambria"/>
        </w:rPr>
      </w:pPr>
      <w:r>
        <w:rPr>
          <w:rFonts w:eastAsia="Cambria"/>
          <w:b/>
          <w:bCs/>
          <w:w w:val="105"/>
        </w:rPr>
        <w:t>6.5 Support Services</w:t>
      </w:r>
    </w:p>
    <w:p w14:paraId="11ADD2BA" w14:textId="77777777" w:rsidR="002B7103" w:rsidRDefault="002B7103">
      <w:pPr>
        <w:rPr>
          <w:color w:val="FF0000"/>
        </w:rPr>
      </w:pPr>
    </w:p>
    <w:p w14:paraId="11ADD2BB" w14:textId="77777777" w:rsidR="002B7103" w:rsidRDefault="00CD40B8">
      <w:r>
        <w:t xml:space="preserve">Please visit the Science &amp; Basic Medical Sciences Academic Advising webpage for information on adding/dropping courses, academic considerations for absences, requests for relief, exam conflicts, and many other academic-related matters: </w:t>
      </w:r>
      <w:hyperlink r:id="rId31">
        <w:r>
          <w:rPr>
            <w:rStyle w:val="Hyperlink"/>
          </w:rPr>
          <w:t>https://www.uwo.ca/sci/counselling/</w:t>
        </w:r>
      </w:hyperlink>
      <w:r>
        <w:t>.</w:t>
      </w:r>
    </w:p>
    <w:p w14:paraId="11ADD2BC" w14:textId="77777777" w:rsidR="002B7103" w:rsidRDefault="002B7103"/>
    <w:p w14:paraId="11ADD2BD" w14:textId="77777777" w:rsidR="002B7103" w:rsidRDefault="00CD40B8">
      <w:pPr>
        <w:rPr>
          <w:color w:val="0000FF"/>
        </w:rPr>
      </w:pPr>
      <w:r>
        <w:t xml:space="preserve">Students who are in emotional/mental distress should refer to Mental </w:t>
      </w:r>
      <w:proofErr w:type="spellStart"/>
      <w:r>
        <w:t>Health@Western</w:t>
      </w:r>
      <w:proofErr w:type="spellEnd"/>
      <w:r>
        <w:t xml:space="preserve"> (</w:t>
      </w:r>
      <w:hyperlink r:id="rId32">
        <w:r>
          <w:rPr>
            <w:rStyle w:val="Hyperlink"/>
          </w:rPr>
          <w:t>https://uwo.ca/health/</w:t>
        </w:r>
      </w:hyperlink>
      <w:r>
        <w:t>) for a complete list of options about how to obtain help.</w:t>
      </w:r>
    </w:p>
    <w:p w14:paraId="11ADD2BE" w14:textId="77777777" w:rsidR="002B7103" w:rsidRDefault="002B7103"/>
    <w:p w14:paraId="11ADD2BF" w14:textId="77777777" w:rsidR="002B7103" w:rsidRDefault="00CD40B8">
      <w:pPr>
        <w:spacing w:after="120"/>
      </w:pPr>
      <w:r>
        <w:t>Please contact the course instructor if you require lecture or printed material in an alternate format or if any other arrangements can make this course more accessible to you.  If you have any questions regarding accommodations, you may also wish to contact Accessible Education at</w:t>
      </w:r>
    </w:p>
    <w:p w14:paraId="11ADD2C0" w14:textId="77777777" w:rsidR="002B7103" w:rsidRDefault="00CD40B8">
      <w:pPr>
        <w:spacing w:after="120"/>
        <w:ind w:left="360"/>
        <w:rPr>
          <w:color w:val="0000FF"/>
        </w:rPr>
      </w:pPr>
      <w:hyperlink r:id="rId33">
        <w:r>
          <w:rPr>
            <w:rStyle w:val="Hyperlink"/>
          </w:rPr>
          <w:t>http://academicsupport.uwo.ca/accessible_education/index.html</w:t>
        </w:r>
      </w:hyperlink>
    </w:p>
    <w:p w14:paraId="11ADD2C1" w14:textId="77777777" w:rsidR="002B7103" w:rsidRDefault="00CD40B8">
      <w:pPr>
        <w:spacing w:after="120"/>
        <w:rPr>
          <w:color w:val="0000FF"/>
        </w:rPr>
      </w:pPr>
      <w:r>
        <w:rPr>
          <w:color w:val="FF0000"/>
        </w:rPr>
        <w:br/>
      </w:r>
      <w:r>
        <w:t>Learning-skills counsellors at Learning Development and Success (</w:t>
      </w:r>
      <w:hyperlink r:id="rId34">
        <w:r>
          <w:rPr>
            <w:rStyle w:val="Hyperlink"/>
          </w:rPr>
          <w:t>https://learning.uwo.ca</w:t>
        </w:r>
      </w:hyperlink>
      <w:r>
        <w:t>) are ready to help you improve your learning skills.  They offer presentations on strategies for improving time management, multiple-choice exam preparation/writing, textbook reading, and more.  Individual support is offered throughout the Fall/Winter terms in the drop-in Learning Help Centre, and year-round through individual counselling.</w:t>
      </w:r>
    </w:p>
    <w:p w14:paraId="11ADD2C2" w14:textId="77777777" w:rsidR="002B7103" w:rsidRDefault="002B7103"/>
    <w:p w14:paraId="11ADD2C3" w14:textId="77777777" w:rsidR="002B7103" w:rsidRDefault="00CD40B8">
      <w:pPr>
        <w:rPr>
          <w:color w:val="0000FF"/>
        </w:rPr>
      </w:pPr>
      <w:r>
        <w:t xml:space="preserve">Additional student-run support services are offered by the USC, </w:t>
      </w:r>
      <w:r>
        <w:rPr>
          <w:color w:val="0000FF"/>
        </w:rPr>
        <w:t> </w:t>
      </w:r>
      <w:hyperlink r:id="rId35">
        <w:r>
          <w:rPr>
            <w:rStyle w:val="Hyperlink"/>
            <w:lang w:val="en-US"/>
          </w:rPr>
          <w:t>https://westernusc.ca/services/</w:t>
        </w:r>
      </w:hyperlink>
      <w:r>
        <w:rPr>
          <w:color w:val="000000" w:themeColor="text1"/>
        </w:rPr>
        <w:t>.</w:t>
      </w:r>
    </w:p>
    <w:p w14:paraId="11ADD2C4" w14:textId="77777777" w:rsidR="002B7103" w:rsidRDefault="002B7103"/>
    <w:sectPr w:rsidR="002B7103">
      <w:pgSz w:w="12240" w:h="15840"/>
      <w:pgMar w:top="1077" w:right="1077" w:bottom="1077" w:left="107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Mono">
    <w:altName w:val="Courier New"/>
    <w:charset w:val="01"/>
    <w:family w:val="swiss"/>
    <w:pitch w:val="default"/>
  </w:font>
  <w:font w:name="Avenir">
    <w:altName w:val="Calibri"/>
    <w:charset w:val="01"/>
    <w:family w:val="swiss"/>
    <w:pitch w:val="default"/>
  </w:font>
  <w:font w:name="Arial (Body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D2387"/>
    <w:multiLevelType w:val="multilevel"/>
    <w:tmpl w:val="6C989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5E7106"/>
    <w:multiLevelType w:val="multilevel"/>
    <w:tmpl w:val="065C3B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60420134">
    <w:abstractNumId w:val="1"/>
  </w:num>
  <w:num w:numId="2" w16cid:durableId="100906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03"/>
    <w:rsid w:val="00197882"/>
    <w:rsid w:val="002B7103"/>
    <w:rsid w:val="00CD40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D20A"/>
  <w15:docId w15:val="{2CDC5672-322C-43C1-9A9D-EA517C5C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sz w:val="24"/>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qFormat/>
    <w:rsid w:val="00816C72"/>
    <w:rPr>
      <w:color w:val="605E5C"/>
      <w:shd w:val="clear" w:color="auto" w:fill="E1DFDD"/>
    </w:r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qFormat/>
    <w:rsid w:val="00DC3B74"/>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qFormat/>
    <w:rPr>
      <w:sz w:val="16"/>
      <w:szCs w:val="16"/>
    </w:rPr>
  </w:style>
  <w:style w:type="character" w:customStyle="1" w:styleId="CommentSubjectChar">
    <w:name w:val="Comment Subject Char"/>
    <w:basedOn w:val="CommentTextChar"/>
    <w:link w:val="CommentSubject"/>
    <w:uiPriority w:val="99"/>
    <w:semiHidden/>
    <w:qFormat/>
    <w:rsid w:val="00E32710"/>
    <w:rPr>
      <w:rFonts w:ascii="Times New Roman" w:eastAsia="Times New Roman" w:hAnsi="Times New Roman" w:cs="Times New Roman"/>
      <w:b/>
      <w:bCs/>
      <w:sz w:val="20"/>
      <w:szCs w:val="20"/>
      <w:lang w:val="en-CA" w:eastAsia="zh-CN"/>
    </w:rPr>
  </w:style>
  <w:style w:type="paragraph" w:customStyle="1" w:styleId="Heading">
    <w:name w:val="Heading"/>
    <w:basedOn w:val="Normal"/>
    <w:next w:val="BodyText"/>
    <w:qFormat/>
    <w:pPr>
      <w:keepNext/>
      <w:spacing w:before="240" w:after="120"/>
    </w:pPr>
    <w:rPr>
      <w:rFonts w:ascii="DejaVu Sans" w:eastAsia="Noto Sans CJK SC" w:hAnsi="DejaVu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ascii="DejaVu Sans" w:hAnsi="DejaVu Sans" w:cs="Lohit Devanagari"/>
    </w:rPr>
  </w:style>
  <w:style w:type="paragraph" w:styleId="Caption">
    <w:name w:val="caption"/>
    <w:basedOn w:val="Normal"/>
    <w:qFormat/>
    <w:pPr>
      <w:suppressLineNumbers/>
      <w:spacing w:before="120" w:after="120"/>
    </w:pPr>
    <w:rPr>
      <w:rFonts w:ascii="DejaVu Sans" w:hAnsi="DejaVu Sans" w:cs="Lohit Devanagari"/>
      <w:i/>
      <w:iCs/>
    </w:rPr>
  </w:style>
  <w:style w:type="paragraph" w:customStyle="1" w:styleId="Index">
    <w:name w:val="Index"/>
    <w:basedOn w:val="Normal"/>
    <w:qFormat/>
    <w:pPr>
      <w:suppressLineNumbers/>
    </w:pPr>
    <w:rPr>
      <w:rFonts w:ascii="DejaVu Sans" w:hAnsi="DejaVu Sans" w:cs="Lohit Devanagari"/>
    </w:rPr>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paragraph" w:styleId="Revision">
    <w:name w:val="Revision"/>
    <w:uiPriority w:val="99"/>
    <w:semiHidden/>
    <w:qFormat/>
    <w:rsid w:val="00587074"/>
    <w:rPr>
      <w:rFonts w:ascii="Times New Roman" w:eastAsia="Times New Roman" w:hAnsi="Times New Roman" w:cs="Times New Roman"/>
      <w:sz w:val="24"/>
      <w:lang w:val="en-CA" w:eastAsia="zh-CN"/>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sid w:val="00E32710"/>
    <w:rPr>
      <w:b/>
      <w:bCs/>
    </w:rPr>
  </w:style>
  <w:style w:type="paragraph" w:customStyle="1" w:styleId="PreformattedText">
    <w:name w:val="Preformatted Text"/>
    <w:basedOn w:val="Normal"/>
    <w:qFormat/>
    <w:rPr>
      <w:rFonts w:ascii="Liberation Mono" w:eastAsia="Liberation Mono" w:hAnsi="Liberation Mono" w:cs="Liberation Mono"/>
      <w:sz w:val="20"/>
      <w:szCs w:val="20"/>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esterncalendar.uwo.ca/Courses.cfm?CourseAcadCalendarID=MAIN_012129_1&amp;SelectedCalendar=Live&amp;ArchiveID=" TargetMode="External"/><Relationship Id="rId18" Type="http://schemas.openxmlformats.org/officeDocument/2006/relationships/hyperlink" Target="http://academicsupport.uwo.ca/accessible_education/" TargetMode="External"/><Relationship Id="rId26" Type="http://schemas.openxmlformats.org/officeDocument/2006/relationships/hyperlink" Target="https://uwo.ca/univsec//pdf/academic_policies/appeals/undergrad_requests_for_relief_procedure.pdf" TargetMode="External"/><Relationship Id="rId21" Type="http://schemas.openxmlformats.org/officeDocument/2006/relationships/hyperlink" Target="https://www.edi.uwo.ca/" TargetMode="External"/><Relationship Id="rId34" Type="http://schemas.openxmlformats.org/officeDocument/2006/relationships/hyperlink" Target="https://learning.uwo.ca/" TargetMode="External"/><Relationship Id="rId7" Type="http://schemas.openxmlformats.org/officeDocument/2006/relationships/hyperlink" Target="https://westerncalendar.uwo.ca/Courses.cfm?CourseAcadCalendarID=MAIN_031207_1&amp;SelectedCalendar=Live&amp;ArchiveID=" TargetMode="External"/><Relationship Id="rId12" Type="http://schemas.openxmlformats.org/officeDocument/2006/relationships/hyperlink" Target="https://westerncalendar.uwo.ca/Courses.cfm?CourseAcadCalendarID=MAIN_010500_1&amp;SelectedCalendar=Live&amp;ArchiveID=" TargetMode="External"/><Relationship Id="rId17" Type="http://schemas.openxmlformats.org/officeDocument/2006/relationships/hyperlink" Target="https://www.uwo.ca/univsec/pdf/academic_policies/appeals/academic_consideration_Sep24.pdf" TargetMode="External"/><Relationship Id="rId25" Type="http://schemas.openxmlformats.org/officeDocument/2006/relationships/hyperlink" Target="https://uwo.ca/univsec//pdf/academic_policies/appeals/requests_for_relief_from_academic_decisions.pdf" TargetMode="External"/><Relationship Id="rId33" Type="http://schemas.openxmlformats.org/officeDocument/2006/relationships/hyperlink" Target="http://academicsupport.uwo.ca/accessible_education/index.html" TargetMode="External"/><Relationship Id="rId2" Type="http://schemas.openxmlformats.org/officeDocument/2006/relationships/styles" Target="styles.xml"/><Relationship Id="rId16" Type="http://schemas.openxmlformats.org/officeDocument/2006/relationships/hyperlink" Target="https://brightspacehelp.uwo.ca/" TargetMode="External"/><Relationship Id="rId20" Type="http://schemas.openxmlformats.org/officeDocument/2006/relationships/hyperlink" Target="https://www.westerncalendar.uwo.ca/PolicyPages.cfm?Command=showCategory&amp;PolicyCategoryID=5&amp;SelectedCalendar=Live&amp;ArchiveID=" TargetMode="External"/><Relationship Id="rId29" Type="http://schemas.openxmlformats.org/officeDocument/2006/relationships/hyperlink" Target="https://uwo.ca/univsec//pdf/academic_policies/appeals/undergrad_scholastic_offence_procedure.pdf" TargetMode="External"/><Relationship Id="rId1" Type="http://schemas.openxmlformats.org/officeDocument/2006/relationships/numbering" Target="numbering.xml"/><Relationship Id="rId6" Type="http://schemas.openxmlformats.org/officeDocument/2006/relationships/hyperlink" Target="https://westerncalendar.uwo.ca/Courses.cfm?CourseAcadCalendarID=MAIN_023092_1&amp;SelectedCalendar=Live&amp;ArchiveID=" TargetMode="External"/><Relationship Id="rId11" Type="http://schemas.openxmlformats.org/officeDocument/2006/relationships/hyperlink" Target="https://westerncalendar.uwo.ca/Courses.cfm?CourseAcadCalendarID=MAIN_005955_1&amp;SelectedCalendar=Live&amp;ArchiveID=" TargetMode="External"/><Relationship Id="rId24" Type="http://schemas.openxmlformats.org/officeDocument/2006/relationships/hyperlink" Target="https://www.uwo.ca/univsec/pdf/policies_procedures/section1/mapp113.pdf" TargetMode="External"/><Relationship Id="rId32" Type="http://schemas.openxmlformats.org/officeDocument/2006/relationships/hyperlink" Target="https://uwo.ca/health/"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bookstore.ams.org/stml-80" TargetMode="External"/><Relationship Id="rId23" Type="http://schemas.openxmlformats.org/officeDocument/2006/relationships/hyperlink" Target="https://www.registrar.uwo.ca/" TargetMode="External"/><Relationship Id="rId28" Type="http://schemas.openxmlformats.org/officeDocument/2006/relationships/hyperlink" Target="https://uwo.ca/univsec//pdf/academic_policies/appeals/scholastic_offences.pdf" TargetMode="External"/><Relationship Id="rId36" Type="http://schemas.openxmlformats.org/officeDocument/2006/relationships/fontTable" Target="fontTable.xml"/><Relationship Id="rId10" Type="http://schemas.openxmlformats.org/officeDocument/2006/relationships/hyperlink" Target="https://westerncalendar.uwo.ca/Courses.cfm?CourseAcadCalendarID=MAIN_017786_1&amp;SelectedCalendar=Live&amp;ArchiveID=" TargetMode="External"/><Relationship Id="rId19" Type="http://schemas.openxmlformats.org/officeDocument/2006/relationships/hyperlink" Target="https://registrar.uwo.ca/academics/academic_considerations/" TargetMode="External"/><Relationship Id="rId31" Type="http://schemas.openxmlformats.org/officeDocument/2006/relationships/hyperlink" Target="https://www.uwo.ca/sci/counselling/" TargetMode="External"/><Relationship Id="rId4" Type="http://schemas.openxmlformats.org/officeDocument/2006/relationships/webSettings" Target="webSettings.xml"/><Relationship Id="rId9" Type="http://schemas.openxmlformats.org/officeDocument/2006/relationships/hyperlink" Target="https://westerncalendar.uwo.ca/Courses.cfm?CourseAcadCalendarID=MAIN_013891_1&amp;SelectedCalendar=Live&amp;ArchiveID=" TargetMode="External"/><Relationship Id="rId14" Type="http://schemas.openxmlformats.org/officeDocument/2006/relationships/hyperlink" Target="https://westerncalendar.uwo.ca/Courses.cfm?CourseAcadCalendarID=MAIN_031210_1&amp;SelectedCalendar=Live&amp;ArchiveID=" TargetMode="External"/><Relationship Id="rId22" Type="http://schemas.openxmlformats.org/officeDocument/2006/relationships/hyperlink" Target="https://www.uwo.ca/univsec/pdf/academic_policies/appeals/Academic%20Accommodation_disabilities.pdf" TargetMode="External"/><Relationship Id="rId27" Type="http://schemas.openxmlformats.org/officeDocument/2006/relationships/hyperlink" Target="https://uwo.ca/univsec//pdf/academic_policies/appeals/graduate_requests_for_relief_procedure.pdf" TargetMode="External"/><Relationship Id="rId30" Type="http://schemas.openxmlformats.org/officeDocument/2006/relationships/hyperlink" Target="https://remoteproctoring.uwo.ca/" TargetMode="External"/><Relationship Id="rId35" Type="http://schemas.openxmlformats.org/officeDocument/2006/relationships/hyperlink" Target="https://westernusc.ca/services/" TargetMode="External"/><Relationship Id="rId8" Type="http://schemas.openxmlformats.org/officeDocument/2006/relationships/hyperlink" Target="https://westerncalendar.uwo.ca/Courses.cfm?CourseAcadCalendarID=MAIN_013892_1&amp;SelectedCalendar=Live&amp;ArchiveI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6</Pages>
  <Words>2451</Words>
  <Characters>13971</Characters>
  <Application>Microsoft Office Word</Application>
  <DocSecurity>0</DocSecurity>
  <Lines>116</Lines>
  <Paragraphs>32</Paragraphs>
  <ScaleCrop>false</ScaleCrop>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Aji Dhillon</cp:lastModifiedBy>
  <cp:revision>50</cp:revision>
  <dcterms:created xsi:type="dcterms:W3CDTF">2024-11-27T13:09:00Z</dcterms:created>
  <dcterms:modified xsi:type="dcterms:W3CDTF">2025-08-29T03:49:00Z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