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0CDD6D29"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28A068F2">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48" w:rsidRPr="00F95E48">
        <w:rPr>
          <w:rFonts w:ascii="Avenir" w:hAnsi="Avenir" w:cs="Calibri"/>
          <w:b/>
          <w:bCs/>
          <w:color w:val="4F2683"/>
          <w:sz w:val="22"/>
          <w:szCs w:val="22"/>
        </w:rPr>
        <w:t xml:space="preserve"> </w:t>
      </w:r>
      <w:r w:rsidR="00F95E48" w:rsidRPr="1809F0DF">
        <w:rPr>
          <w:rFonts w:ascii="Avenir" w:hAnsi="Avenir" w:cs="Calibri"/>
          <w:b/>
          <w:bCs/>
          <w:color w:val="4F2683"/>
          <w:sz w:val="22"/>
          <w:szCs w:val="22"/>
        </w:rPr>
        <w:t>Department</w:t>
      </w:r>
      <w:r w:rsidR="00F95E48">
        <w:rPr>
          <w:rFonts w:ascii="Avenir" w:hAnsi="Avenir" w:cs="Calibri"/>
          <w:b/>
          <w:bCs/>
          <w:color w:val="4F2683"/>
          <w:sz w:val="22"/>
          <w:szCs w:val="22"/>
        </w:rPr>
        <w:t xml:space="preserve"> of 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00664400" w:rsidR="003F0C6D" w:rsidRDefault="00597639" w:rsidP="00597639">
      <w:pPr>
        <w:tabs>
          <w:tab w:val="center" w:pos="5040"/>
        </w:tabs>
        <w:rPr>
          <w:b/>
          <w:sz w:val="36"/>
          <w:szCs w:val="36"/>
        </w:rPr>
      </w:pPr>
      <w:r w:rsidRPr="00597639">
        <w:rPr>
          <w:b/>
          <w:sz w:val="36"/>
          <w:szCs w:val="36"/>
        </w:rPr>
        <w:tab/>
        <w:t>Course Outline</w:t>
      </w:r>
    </w:p>
    <w:p w14:paraId="5B2A0362" w14:textId="7209F61A" w:rsidR="00B925BA" w:rsidRPr="00597639" w:rsidRDefault="00B925BA" w:rsidP="00B925BA">
      <w:pPr>
        <w:tabs>
          <w:tab w:val="center" w:pos="5040"/>
        </w:tabs>
        <w:jc w:val="center"/>
        <w:rPr>
          <w:b/>
          <w:sz w:val="36"/>
          <w:szCs w:val="36"/>
        </w:rPr>
      </w:pPr>
      <w:r w:rsidRPr="00E1234B">
        <w:rPr>
          <w:b/>
          <w:color w:val="000000" w:themeColor="text1"/>
          <w:sz w:val="36"/>
          <w:szCs w:val="36"/>
        </w:rPr>
        <w:t>M</w:t>
      </w:r>
      <w:r>
        <w:rPr>
          <w:b/>
          <w:color w:val="000000" w:themeColor="text1"/>
          <w:sz w:val="36"/>
          <w:szCs w:val="36"/>
        </w:rPr>
        <w:t>ATH</w:t>
      </w:r>
      <w:r w:rsidRPr="00E1234B">
        <w:rPr>
          <w:b/>
          <w:color w:val="000000" w:themeColor="text1"/>
          <w:sz w:val="36"/>
          <w:szCs w:val="36"/>
        </w:rPr>
        <w:t xml:space="preserve"> 1229</w:t>
      </w:r>
      <w:r w:rsidR="002A484D">
        <w:rPr>
          <w:b/>
          <w:color w:val="000000" w:themeColor="text1"/>
          <w:sz w:val="36"/>
          <w:szCs w:val="36"/>
        </w:rPr>
        <w:t>A</w:t>
      </w:r>
      <w:r w:rsidRPr="00E1234B">
        <w:rPr>
          <w:b/>
          <w:color w:val="000000" w:themeColor="text1"/>
          <w:sz w:val="36"/>
          <w:szCs w:val="36"/>
        </w:rPr>
        <w:t>-Methods of Matrix Algebra</w:t>
      </w:r>
      <w:r w:rsidR="00261046">
        <w:rPr>
          <w:rStyle w:val="FootnoteReference"/>
          <w:b/>
          <w:color w:val="000000" w:themeColor="text1"/>
          <w:sz w:val="36"/>
          <w:szCs w:val="36"/>
        </w:rPr>
        <w:footnoteReference w:id="1"/>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61D25B62" w14:textId="77777777" w:rsidR="00795DAC" w:rsidRPr="006F52B3" w:rsidRDefault="00795DAC" w:rsidP="00795DAC">
      <w:pPr>
        <w:pStyle w:val="ListParagraph"/>
        <w:numPr>
          <w:ilvl w:val="0"/>
          <w:numId w:val="5"/>
        </w:numPr>
        <w:rPr>
          <w:rFonts w:asciiTheme="majorBidi" w:hAnsiTheme="majorBidi" w:cstheme="majorBidi"/>
          <w:bCs/>
        </w:rPr>
      </w:pPr>
      <w:r w:rsidRPr="006F52B3">
        <w:rPr>
          <w:rFonts w:asciiTheme="majorBidi" w:hAnsiTheme="majorBidi" w:cstheme="majorBidi"/>
          <w:bCs/>
          <w:i/>
          <w:iCs/>
        </w:rPr>
        <w:t>Course Name</w:t>
      </w:r>
      <w:r w:rsidRPr="006F52B3">
        <w:rPr>
          <w:rFonts w:asciiTheme="majorBidi" w:hAnsiTheme="majorBidi" w:cstheme="majorBidi"/>
          <w:bCs/>
        </w:rPr>
        <w:t>: Mathematics 1229A (Methods of Matrix Algebra)</w:t>
      </w:r>
    </w:p>
    <w:p w14:paraId="5E08973D" w14:textId="4944B01B" w:rsidR="00795DAC" w:rsidRPr="006F52B3" w:rsidRDefault="00795DAC" w:rsidP="00795DAC">
      <w:pPr>
        <w:pStyle w:val="ListParagraph"/>
        <w:numPr>
          <w:ilvl w:val="0"/>
          <w:numId w:val="5"/>
        </w:numPr>
        <w:rPr>
          <w:rFonts w:asciiTheme="majorBidi" w:hAnsiTheme="majorBidi" w:cstheme="majorBidi"/>
          <w:bCs/>
        </w:rPr>
      </w:pPr>
      <w:r w:rsidRPr="006F52B3">
        <w:rPr>
          <w:rFonts w:asciiTheme="majorBidi" w:hAnsiTheme="majorBidi" w:cstheme="majorBidi"/>
          <w:bCs/>
          <w:i/>
          <w:iCs/>
        </w:rPr>
        <w:t>Academic Term</w:t>
      </w:r>
      <w:r w:rsidRPr="006F52B3">
        <w:rPr>
          <w:rFonts w:asciiTheme="majorBidi" w:hAnsiTheme="majorBidi" w:cstheme="majorBidi"/>
          <w:bCs/>
        </w:rPr>
        <w:t xml:space="preserve">: </w:t>
      </w:r>
      <w:r w:rsidR="00CB57D0">
        <w:rPr>
          <w:rFonts w:asciiTheme="majorBidi" w:hAnsiTheme="majorBidi" w:cstheme="majorBidi"/>
          <w:bCs/>
        </w:rPr>
        <w:t xml:space="preserve">Fall </w:t>
      </w:r>
      <w:r w:rsidRPr="006F52B3">
        <w:rPr>
          <w:rFonts w:asciiTheme="majorBidi" w:hAnsiTheme="majorBidi" w:cstheme="majorBidi"/>
          <w:bCs/>
        </w:rPr>
        <w:t>202</w:t>
      </w:r>
      <w:r>
        <w:rPr>
          <w:rFonts w:asciiTheme="majorBidi" w:hAnsiTheme="majorBidi" w:cstheme="majorBidi"/>
          <w:bCs/>
        </w:rPr>
        <w:t>5</w:t>
      </w:r>
      <w:r w:rsidRPr="006F52B3">
        <w:rPr>
          <w:rFonts w:asciiTheme="majorBidi" w:hAnsiTheme="majorBidi" w:cstheme="majorBidi"/>
          <w:bCs/>
        </w:rPr>
        <w:t xml:space="preserve"> </w:t>
      </w:r>
    </w:p>
    <w:p w14:paraId="403C8270" w14:textId="7E181E5B" w:rsidR="00795DAC" w:rsidRPr="00795DAC" w:rsidRDefault="00795DAC">
      <w:pPr>
        <w:pStyle w:val="ListParagraph"/>
        <w:numPr>
          <w:ilvl w:val="0"/>
          <w:numId w:val="5"/>
        </w:numPr>
        <w:rPr>
          <w:bCs/>
        </w:rPr>
      </w:pPr>
      <w:r w:rsidRPr="00795DAC">
        <w:rPr>
          <w:rFonts w:asciiTheme="majorBidi" w:hAnsiTheme="majorBidi" w:cstheme="majorBidi"/>
          <w:bCs/>
          <w:i/>
          <w:iCs/>
        </w:rPr>
        <w:t>Sections</w:t>
      </w:r>
      <w:r w:rsidRPr="00795DAC">
        <w:rPr>
          <w:rFonts w:asciiTheme="majorBidi" w:hAnsiTheme="majorBidi" w:cstheme="majorBidi"/>
          <w:bCs/>
        </w:rPr>
        <w:t>: Main campus section 200 and all tutorials 002-01</w:t>
      </w:r>
      <w:r w:rsidR="00CB57D0">
        <w:rPr>
          <w:rFonts w:asciiTheme="majorBidi" w:hAnsiTheme="majorBidi" w:cstheme="majorBidi"/>
          <w:bCs/>
        </w:rPr>
        <w:t>3</w:t>
      </w:r>
      <w:r w:rsidRPr="00795DAC">
        <w:rPr>
          <w:rFonts w:asciiTheme="majorBidi" w:hAnsiTheme="majorBidi" w:cstheme="majorBidi"/>
          <w:bCs/>
        </w:rPr>
        <w:t>.</w:t>
      </w:r>
    </w:p>
    <w:p w14:paraId="1A9611B6" w14:textId="24CFF4FE" w:rsidR="006D28B8" w:rsidRPr="00992A57" w:rsidRDefault="00795DAC" w:rsidP="00D31829">
      <w:pPr>
        <w:pStyle w:val="ListParagraph"/>
        <w:numPr>
          <w:ilvl w:val="0"/>
          <w:numId w:val="5"/>
        </w:numPr>
      </w:pPr>
      <w:r w:rsidRPr="00795DAC">
        <w:rPr>
          <w:rFonts w:asciiTheme="majorBidi" w:hAnsiTheme="majorBidi" w:cstheme="majorBidi"/>
          <w:bCs/>
          <w:i/>
          <w:iCs/>
        </w:rPr>
        <w:t xml:space="preserve">Tutorial Professors: </w:t>
      </w:r>
      <w:r w:rsidR="00257C96" w:rsidRPr="00257C96">
        <w:rPr>
          <w:rFonts w:asciiTheme="majorBidi" w:hAnsiTheme="majorBidi" w:cstheme="majorBidi"/>
          <w:bCs/>
          <w:lang w:val="en-CA"/>
        </w:rPr>
        <w:t>A. Ghorbanpour</w:t>
      </w:r>
      <w:r w:rsidR="00257C96">
        <w:rPr>
          <w:rFonts w:asciiTheme="majorBidi" w:hAnsiTheme="majorBidi" w:cstheme="majorBidi"/>
          <w:bCs/>
          <w:lang w:val="en-CA"/>
        </w:rPr>
        <w:t xml:space="preserve">, </w:t>
      </w:r>
      <w:r w:rsidR="002D468E" w:rsidRPr="00257C96">
        <w:rPr>
          <w:rFonts w:asciiTheme="majorBidi" w:hAnsiTheme="majorBidi" w:cstheme="majorBidi"/>
          <w:bCs/>
          <w:lang w:val="en-CA"/>
        </w:rPr>
        <w:t>K. Nguyen</w:t>
      </w:r>
      <w:r w:rsidR="002D468E">
        <w:rPr>
          <w:rFonts w:asciiTheme="majorBidi" w:hAnsiTheme="majorBidi" w:cstheme="majorBidi"/>
          <w:bCs/>
          <w:lang w:val="en-CA"/>
        </w:rPr>
        <w:t xml:space="preserve">, </w:t>
      </w:r>
      <w:r w:rsidR="00257C96" w:rsidRPr="00257C96">
        <w:rPr>
          <w:rFonts w:asciiTheme="majorBidi" w:hAnsiTheme="majorBidi" w:cstheme="majorBidi"/>
          <w:bCs/>
          <w:lang w:val="en-CA"/>
        </w:rPr>
        <w:t>A. O'Hara</w:t>
      </w:r>
      <w:r w:rsidR="00257C96">
        <w:rPr>
          <w:rFonts w:asciiTheme="majorBidi" w:hAnsiTheme="majorBidi" w:cstheme="majorBidi"/>
          <w:bCs/>
          <w:lang w:val="en-CA"/>
        </w:rPr>
        <w:t>.</w:t>
      </w:r>
      <w:r w:rsidR="00257C96" w:rsidRPr="00257C96">
        <w:rPr>
          <w:rFonts w:asciiTheme="majorBidi" w:hAnsiTheme="majorBidi" w:cstheme="majorBidi"/>
          <w:bCs/>
          <w:lang w:val="en-CA"/>
        </w:rPr>
        <w:br/>
      </w:r>
    </w:p>
    <w:tbl>
      <w:tblPr>
        <w:tblStyle w:val="ListTable7Colorful"/>
        <w:tblW w:w="0" w:type="auto"/>
        <w:jc w:val="center"/>
        <w:tblLook w:val="04A0" w:firstRow="1" w:lastRow="0" w:firstColumn="1" w:lastColumn="0" w:noHBand="0" w:noVBand="1"/>
      </w:tblPr>
      <w:tblGrid>
        <w:gridCol w:w="1620"/>
        <w:gridCol w:w="1890"/>
        <w:gridCol w:w="1730"/>
        <w:gridCol w:w="1425"/>
        <w:gridCol w:w="2335"/>
      </w:tblGrid>
      <w:tr w:rsidR="00992A57" w14:paraId="17F80935"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20" w:type="dxa"/>
          </w:tcPr>
          <w:p w14:paraId="553F39FE" w14:textId="77777777" w:rsidR="00992A57" w:rsidRDefault="00992A57">
            <w:pPr>
              <w:rPr>
                <w:bCs/>
              </w:rPr>
            </w:pPr>
            <w:r>
              <w:rPr>
                <w:bCs/>
              </w:rPr>
              <w:t>Tutorial #</w:t>
            </w:r>
          </w:p>
        </w:tc>
        <w:tc>
          <w:tcPr>
            <w:tcW w:w="1890" w:type="dxa"/>
          </w:tcPr>
          <w:p w14:paraId="75A09E49" w14:textId="77777777" w:rsidR="00992A57" w:rsidRDefault="00992A57">
            <w:pPr>
              <w:cnfStyle w:val="100000000000" w:firstRow="1" w:lastRow="0" w:firstColumn="0" w:lastColumn="0" w:oddVBand="0" w:evenVBand="0" w:oddHBand="0" w:evenHBand="0" w:firstRowFirstColumn="0" w:firstRowLastColumn="0" w:lastRowFirstColumn="0" w:lastRowLastColumn="0"/>
              <w:rPr>
                <w:bCs/>
              </w:rPr>
            </w:pPr>
            <w:r>
              <w:rPr>
                <w:bCs/>
              </w:rPr>
              <w:t>Day</w:t>
            </w:r>
          </w:p>
        </w:tc>
        <w:tc>
          <w:tcPr>
            <w:tcW w:w="1730" w:type="dxa"/>
          </w:tcPr>
          <w:p w14:paraId="2DE54EA2" w14:textId="77777777" w:rsidR="00992A57" w:rsidRDefault="00992A57">
            <w:pPr>
              <w:cnfStyle w:val="100000000000" w:firstRow="1" w:lastRow="0" w:firstColumn="0" w:lastColumn="0" w:oddVBand="0" w:evenVBand="0" w:oddHBand="0" w:evenHBand="0" w:firstRowFirstColumn="0" w:firstRowLastColumn="0" w:lastRowFirstColumn="0" w:lastRowLastColumn="0"/>
              <w:rPr>
                <w:bCs/>
              </w:rPr>
            </w:pPr>
            <w:r>
              <w:rPr>
                <w:bCs/>
              </w:rPr>
              <w:t>Time</w:t>
            </w:r>
          </w:p>
        </w:tc>
        <w:tc>
          <w:tcPr>
            <w:tcW w:w="1425" w:type="dxa"/>
          </w:tcPr>
          <w:p w14:paraId="510656EC" w14:textId="77777777" w:rsidR="00992A57" w:rsidRDefault="00992A57">
            <w:pPr>
              <w:cnfStyle w:val="100000000000" w:firstRow="1" w:lastRow="0" w:firstColumn="0" w:lastColumn="0" w:oddVBand="0" w:evenVBand="0" w:oddHBand="0" w:evenHBand="0" w:firstRowFirstColumn="0" w:firstRowLastColumn="0" w:lastRowFirstColumn="0" w:lastRowLastColumn="0"/>
              <w:rPr>
                <w:bCs/>
              </w:rPr>
            </w:pPr>
            <w:r>
              <w:rPr>
                <w:bCs/>
              </w:rPr>
              <w:t>Room</w:t>
            </w:r>
          </w:p>
        </w:tc>
        <w:tc>
          <w:tcPr>
            <w:tcW w:w="2335" w:type="dxa"/>
          </w:tcPr>
          <w:p w14:paraId="7B416CCE" w14:textId="77777777" w:rsidR="00992A57" w:rsidRDefault="00992A57">
            <w:pPr>
              <w:cnfStyle w:val="100000000000" w:firstRow="1" w:lastRow="0" w:firstColumn="0" w:lastColumn="0" w:oddVBand="0" w:evenVBand="0" w:oddHBand="0" w:evenHBand="0" w:firstRowFirstColumn="0" w:firstRowLastColumn="0" w:lastRowFirstColumn="0" w:lastRowLastColumn="0"/>
              <w:rPr>
                <w:bCs/>
              </w:rPr>
            </w:pPr>
            <w:bookmarkStart w:id="0" w:name="_Hlk155352986"/>
            <w:r>
              <w:rPr>
                <w:bCs/>
              </w:rPr>
              <w:t>Tutorial Professor</w:t>
            </w:r>
            <w:bookmarkEnd w:id="0"/>
          </w:p>
        </w:tc>
      </w:tr>
      <w:tr w:rsidR="00992A57" w14:paraId="78536A5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2185FF29" w14:textId="526211D9" w:rsidR="00992A57" w:rsidRDefault="00992A57">
            <w:pPr>
              <w:rPr>
                <w:bCs/>
              </w:rPr>
            </w:pPr>
          </w:p>
        </w:tc>
        <w:tc>
          <w:tcPr>
            <w:tcW w:w="1890" w:type="dxa"/>
          </w:tcPr>
          <w:p w14:paraId="2C9A979F" w14:textId="35A9E925" w:rsidR="00992A57" w:rsidRDefault="00992A57">
            <w:pPr>
              <w:cnfStyle w:val="000000100000" w:firstRow="0" w:lastRow="0" w:firstColumn="0" w:lastColumn="0" w:oddVBand="0" w:evenVBand="0" w:oddHBand="1" w:evenHBand="0" w:firstRowFirstColumn="0" w:firstRowLastColumn="0" w:lastRowFirstColumn="0" w:lastRowLastColumn="0"/>
              <w:rPr>
                <w:bCs/>
              </w:rPr>
            </w:pPr>
          </w:p>
        </w:tc>
        <w:tc>
          <w:tcPr>
            <w:tcW w:w="1730" w:type="dxa"/>
          </w:tcPr>
          <w:p w14:paraId="41B76C6E" w14:textId="247B9FB0" w:rsidR="00992A57" w:rsidRDefault="00992A57">
            <w:pPr>
              <w:cnfStyle w:val="000000100000" w:firstRow="0" w:lastRow="0" w:firstColumn="0" w:lastColumn="0" w:oddVBand="0" w:evenVBand="0" w:oddHBand="1" w:evenHBand="0" w:firstRowFirstColumn="0" w:firstRowLastColumn="0" w:lastRowFirstColumn="0" w:lastRowLastColumn="0"/>
              <w:rPr>
                <w:bCs/>
              </w:rPr>
            </w:pPr>
          </w:p>
        </w:tc>
        <w:tc>
          <w:tcPr>
            <w:tcW w:w="1425" w:type="dxa"/>
          </w:tcPr>
          <w:p w14:paraId="34C77E3F" w14:textId="6277AED9" w:rsidR="00992A57" w:rsidRPr="008912D6" w:rsidRDefault="00992A57">
            <w:pPr>
              <w:cnfStyle w:val="000000100000" w:firstRow="0" w:lastRow="0" w:firstColumn="0" w:lastColumn="0" w:oddVBand="0" w:evenVBand="0" w:oddHBand="1" w:evenHBand="0" w:firstRowFirstColumn="0" w:firstRowLastColumn="0" w:lastRowFirstColumn="0" w:lastRowLastColumn="0"/>
              <w:rPr>
                <w:bCs/>
              </w:rPr>
            </w:pPr>
          </w:p>
        </w:tc>
        <w:tc>
          <w:tcPr>
            <w:tcW w:w="2335" w:type="dxa"/>
          </w:tcPr>
          <w:p w14:paraId="6442F8E6" w14:textId="19D383E5" w:rsidR="00992A57" w:rsidRPr="00F67D3D" w:rsidRDefault="00992A57" w:rsidP="00F67D3D">
            <w:pPr>
              <w:cnfStyle w:val="000000100000" w:firstRow="0" w:lastRow="0" w:firstColumn="0" w:lastColumn="0" w:oddVBand="0" w:evenVBand="0" w:oddHBand="1" w:evenHBand="0" w:firstRowFirstColumn="0" w:firstRowLastColumn="0" w:lastRowFirstColumn="0" w:lastRowLastColumn="0"/>
              <w:rPr>
                <w:bCs/>
              </w:rPr>
            </w:pPr>
          </w:p>
        </w:tc>
      </w:tr>
      <w:tr w:rsidR="00992A57" w14:paraId="35C1FC7D" w14:textId="77777777">
        <w:trPr>
          <w:jc w:val="center"/>
        </w:trPr>
        <w:tc>
          <w:tcPr>
            <w:cnfStyle w:val="001000000000" w:firstRow="0" w:lastRow="0" w:firstColumn="1" w:lastColumn="0" w:oddVBand="0" w:evenVBand="0" w:oddHBand="0" w:evenHBand="0" w:firstRowFirstColumn="0" w:firstRowLastColumn="0" w:lastRowFirstColumn="0" w:lastRowLastColumn="0"/>
            <w:tcW w:w="1620" w:type="dxa"/>
          </w:tcPr>
          <w:p w14:paraId="332477AF" w14:textId="76F79F14" w:rsidR="00992A57" w:rsidRDefault="00992A57">
            <w:pPr>
              <w:rPr>
                <w:bCs/>
              </w:rPr>
            </w:pPr>
          </w:p>
        </w:tc>
        <w:tc>
          <w:tcPr>
            <w:tcW w:w="1890" w:type="dxa"/>
          </w:tcPr>
          <w:p w14:paraId="19103ED5" w14:textId="1EF6A3D3" w:rsidR="00992A57" w:rsidRDefault="00992A57">
            <w:pPr>
              <w:cnfStyle w:val="000000000000" w:firstRow="0" w:lastRow="0" w:firstColumn="0" w:lastColumn="0" w:oddVBand="0" w:evenVBand="0" w:oddHBand="0" w:evenHBand="0" w:firstRowFirstColumn="0" w:firstRowLastColumn="0" w:lastRowFirstColumn="0" w:lastRowLastColumn="0"/>
              <w:rPr>
                <w:bCs/>
              </w:rPr>
            </w:pPr>
          </w:p>
        </w:tc>
        <w:tc>
          <w:tcPr>
            <w:tcW w:w="1730" w:type="dxa"/>
          </w:tcPr>
          <w:p w14:paraId="1F472515" w14:textId="3093537D" w:rsidR="00992A57" w:rsidRDefault="00992A57">
            <w:pPr>
              <w:cnfStyle w:val="000000000000" w:firstRow="0" w:lastRow="0" w:firstColumn="0" w:lastColumn="0" w:oddVBand="0" w:evenVBand="0" w:oddHBand="0" w:evenHBand="0" w:firstRowFirstColumn="0" w:firstRowLastColumn="0" w:lastRowFirstColumn="0" w:lastRowLastColumn="0"/>
              <w:rPr>
                <w:bCs/>
              </w:rPr>
            </w:pPr>
          </w:p>
        </w:tc>
        <w:tc>
          <w:tcPr>
            <w:tcW w:w="1425" w:type="dxa"/>
          </w:tcPr>
          <w:p w14:paraId="076656D9" w14:textId="7BE58E5C" w:rsidR="00992A57" w:rsidRDefault="00992A57">
            <w:pPr>
              <w:cnfStyle w:val="000000000000" w:firstRow="0" w:lastRow="0" w:firstColumn="0" w:lastColumn="0" w:oddVBand="0" w:evenVBand="0" w:oddHBand="0" w:evenHBand="0" w:firstRowFirstColumn="0" w:firstRowLastColumn="0" w:lastRowFirstColumn="0" w:lastRowLastColumn="0"/>
              <w:rPr>
                <w:bCs/>
              </w:rPr>
            </w:pPr>
          </w:p>
        </w:tc>
        <w:tc>
          <w:tcPr>
            <w:tcW w:w="2335" w:type="dxa"/>
          </w:tcPr>
          <w:p w14:paraId="7C1E697E" w14:textId="175390C5" w:rsidR="00992A57" w:rsidRDefault="00992A57">
            <w:pPr>
              <w:cnfStyle w:val="000000000000" w:firstRow="0" w:lastRow="0" w:firstColumn="0" w:lastColumn="0" w:oddVBand="0" w:evenVBand="0" w:oddHBand="0" w:evenHBand="0" w:firstRowFirstColumn="0" w:firstRowLastColumn="0" w:lastRowFirstColumn="0" w:lastRowLastColumn="0"/>
              <w:rPr>
                <w:bCs/>
              </w:rPr>
            </w:pPr>
          </w:p>
        </w:tc>
      </w:tr>
      <w:tr w:rsidR="00992A57" w14:paraId="68F8A45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6E0008AC" w14:textId="3EFF0859" w:rsidR="00992A57" w:rsidRDefault="00992A57">
            <w:pPr>
              <w:rPr>
                <w:bCs/>
              </w:rPr>
            </w:pPr>
          </w:p>
        </w:tc>
        <w:tc>
          <w:tcPr>
            <w:tcW w:w="1890" w:type="dxa"/>
          </w:tcPr>
          <w:p w14:paraId="12599058" w14:textId="299472A6" w:rsidR="00992A57" w:rsidRDefault="00992A57">
            <w:pPr>
              <w:cnfStyle w:val="000000100000" w:firstRow="0" w:lastRow="0" w:firstColumn="0" w:lastColumn="0" w:oddVBand="0" w:evenVBand="0" w:oddHBand="1" w:evenHBand="0" w:firstRowFirstColumn="0" w:firstRowLastColumn="0" w:lastRowFirstColumn="0" w:lastRowLastColumn="0"/>
              <w:rPr>
                <w:bCs/>
              </w:rPr>
            </w:pPr>
          </w:p>
        </w:tc>
        <w:tc>
          <w:tcPr>
            <w:tcW w:w="1730" w:type="dxa"/>
          </w:tcPr>
          <w:p w14:paraId="11033C24" w14:textId="64B25C86" w:rsidR="00992A57" w:rsidRDefault="00992A57">
            <w:pPr>
              <w:cnfStyle w:val="000000100000" w:firstRow="0" w:lastRow="0" w:firstColumn="0" w:lastColumn="0" w:oddVBand="0" w:evenVBand="0" w:oddHBand="1" w:evenHBand="0" w:firstRowFirstColumn="0" w:firstRowLastColumn="0" w:lastRowFirstColumn="0" w:lastRowLastColumn="0"/>
              <w:rPr>
                <w:bCs/>
              </w:rPr>
            </w:pPr>
          </w:p>
        </w:tc>
        <w:tc>
          <w:tcPr>
            <w:tcW w:w="1425" w:type="dxa"/>
          </w:tcPr>
          <w:p w14:paraId="4426DF16" w14:textId="29A2C6D3" w:rsidR="00992A57" w:rsidRDefault="00992A57">
            <w:pPr>
              <w:cnfStyle w:val="000000100000" w:firstRow="0" w:lastRow="0" w:firstColumn="0" w:lastColumn="0" w:oddVBand="0" w:evenVBand="0" w:oddHBand="1" w:evenHBand="0" w:firstRowFirstColumn="0" w:firstRowLastColumn="0" w:lastRowFirstColumn="0" w:lastRowLastColumn="0"/>
              <w:rPr>
                <w:bCs/>
              </w:rPr>
            </w:pPr>
          </w:p>
        </w:tc>
        <w:tc>
          <w:tcPr>
            <w:tcW w:w="2335" w:type="dxa"/>
          </w:tcPr>
          <w:p w14:paraId="224916B3" w14:textId="149EC2C5" w:rsidR="00992A57" w:rsidRDefault="00992A57">
            <w:pPr>
              <w:cnfStyle w:val="000000100000" w:firstRow="0" w:lastRow="0" w:firstColumn="0" w:lastColumn="0" w:oddVBand="0" w:evenVBand="0" w:oddHBand="1" w:evenHBand="0" w:firstRowFirstColumn="0" w:firstRowLastColumn="0" w:lastRowFirstColumn="0" w:lastRowLastColumn="0"/>
              <w:rPr>
                <w:bCs/>
              </w:rPr>
            </w:pPr>
          </w:p>
        </w:tc>
      </w:tr>
      <w:tr w:rsidR="00992A57" w14:paraId="5038CA7D" w14:textId="77777777">
        <w:trPr>
          <w:jc w:val="center"/>
        </w:trPr>
        <w:tc>
          <w:tcPr>
            <w:cnfStyle w:val="001000000000" w:firstRow="0" w:lastRow="0" w:firstColumn="1" w:lastColumn="0" w:oddVBand="0" w:evenVBand="0" w:oddHBand="0" w:evenHBand="0" w:firstRowFirstColumn="0" w:firstRowLastColumn="0" w:lastRowFirstColumn="0" w:lastRowLastColumn="0"/>
            <w:tcW w:w="1620" w:type="dxa"/>
          </w:tcPr>
          <w:p w14:paraId="25C5C393" w14:textId="180EA0F9" w:rsidR="00992A57" w:rsidRDefault="00992A57">
            <w:pPr>
              <w:rPr>
                <w:bCs/>
              </w:rPr>
            </w:pPr>
          </w:p>
        </w:tc>
        <w:tc>
          <w:tcPr>
            <w:tcW w:w="1890" w:type="dxa"/>
          </w:tcPr>
          <w:p w14:paraId="2EEC9EB1" w14:textId="2A339602" w:rsidR="00992A57" w:rsidRDefault="00992A57">
            <w:pPr>
              <w:cnfStyle w:val="000000000000" w:firstRow="0" w:lastRow="0" w:firstColumn="0" w:lastColumn="0" w:oddVBand="0" w:evenVBand="0" w:oddHBand="0" w:evenHBand="0" w:firstRowFirstColumn="0" w:firstRowLastColumn="0" w:lastRowFirstColumn="0" w:lastRowLastColumn="0"/>
              <w:rPr>
                <w:bCs/>
              </w:rPr>
            </w:pPr>
          </w:p>
        </w:tc>
        <w:tc>
          <w:tcPr>
            <w:tcW w:w="1730" w:type="dxa"/>
          </w:tcPr>
          <w:p w14:paraId="4690C04C" w14:textId="244C9D19" w:rsidR="00992A57" w:rsidRDefault="00992A57">
            <w:pPr>
              <w:cnfStyle w:val="000000000000" w:firstRow="0" w:lastRow="0" w:firstColumn="0" w:lastColumn="0" w:oddVBand="0" w:evenVBand="0" w:oddHBand="0" w:evenHBand="0" w:firstRowFirstColumn="0" w:firstRowLastColumn="0" w:lastRowFirstColumn="0" w:lastRowLastColumn="0"/>
              <w:rPr>
                <w:bCs/>
              </w:rPr>
            </w:pPr>
          </w:p>
        </w:tc>
        <w:tc>
          <w:tcPr>
            <w:tcW w:w="1425" w:type="dxa"/>
          </w:tcPr>
          <w:p w14:paraId="3A2DEED7" w14:textId="0A66C97E" w:rsidR="00992A57" w:rsidRDefault="00992A57">
            <w:pPr>
              <w:cnfStyle w:val="000000000000" w:firstRow="0" w:lastRow="0" w:firstColumn="0" w:lastColumn="0" w:oddVBand="0" w:evenVBand="0" w:oddHBand="0" w:evenHBand="0" w:firstRowFirstColumn="0" w:firstRowLastColumn="0" w:lastRowFirstColumn="0" w:lastRowLastColumn="0"/>
              <w:rPr>
                <w:bCs/>
              </w:rPr>
            </w:pPr>
          </w:p>
        </w:tc>
        <w:tc>
          <w:tcPr>
            <w:tcW w:w="2335" w:type="dxa"/>
          </w:tcPr>
          <w:p w14:paraId="0F306FAC" w14:textId="58F00118" w:rsidR="00992A57" w:rsidRPr="008912D6" w:rsidRDefault="00992A57">
            <w:pPr>
              <w:tabs>
                <w:tab w:val="left" w:pos="1605"/>
              </w:tabs>
              <w:ind w:right="345"/>
              <w:cnfStyle w:val="000000000000" w:firstRow="0" w:lastRow="0" w:firstColumn="0" w:lastColumn="0" w:oddVBand="0" w:evenVBand="0" w:oddHBand="0" w:evenHBand="0" w:firstRowFirstColumn="0" w:firstRowLastColumn="0" w:lastRowFirstColumn="0" w:lastRowLastColumn="0"/>
              <w:rPr>
                <w:bCs/>
              </w:rPr>
            </w:pPr>
          </w:p>
        </w:tc>
      </w:tr>
      <w:tr w:rsidR="00992A57" w14:paraId="4E08272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2DBCEF4F" w14:textId="7C263FBB" w:rsidR="00992A57" w:rsidRDefault="00992A57">
            <w:pPr>
              <w:rPr>
                <w:bCs/>
              </w:rPr>
            </w:pPr>
          </w:p>
        </w:tc>
        <w:tc>
          <w:tcPr>
            <w:tcW w:w="1890" w:type="dxa"/>
          </w:tcPr>
          <w:p w14:paraId="443571A1" w14:textId="5CF69E5D" w:rsidR="00992A57" w:rsidRDefault="00992A57">
            <w:pPr>
              <w:cnfStyle w:val="000000100000" w:firstRow="0" w:lastRow="0" w:firstColumn="0" w:lastColumn="0" w:oddVBand="0" w:evenVBand="0" w:oddHBand="1" w:evenHBand="0" w:firstRowFirstColumn="0" w:firstRowLastColumn="0" w:lastRowFirstColumn="0" w:lastRowLastColumn="0"/>
              <w:rPr>
                <w:bCs/>
              </w:rPr>
            </w:pPr>
          </w:p>
        </w:tc>
        <w:tc>
          <w:tcPr>
            <w:tcW w:w="1730" w:type="dxa"/>
          </w:tcPr>
          <w:p w14:paraId="515515B6" w14:textId="103BB0B4" w:rsidR="00992A57" w:rsidRDefault="00992A57">
            <w:pPr>
              <w:cnfStyle w:val="000000100000" w:firstRow="0" w:lastRow="0" w:firstColumn="0" w:lastColumn="0" w:oddVBand="0" w:evenVBand="0" w:oddHBand="1" w:evenHBand="0" w:firstRowFirstColumn="0" w:firstRowLastColumn="0" w:lastRowFirstColumn="0" w:lastRowLastColumn="0"/>
              <w:rPr>
                <w:bCs/>
              </w:rPr>
            </w:pPr>
          </w:p>
        </w:tc>
        <w:tc>
          <w:tcPr>
            <w:tcW w:w="1425" w:type="dxa"/>
          </w:tcPr>
          <w:p w14:paraId="482EDA5B" w14:textId="78CDF4F7" w:rsidR="00992A57" w:rsidRDefault="00992A57">
            <w:pPr>
              <w:cnfStyle w:val="000000100000" w:firstRow="0" w:lastRow="0" w:firstColumn="0" w:lastColumn="0" w:oddVBand="0" w:evenVBand="0" w:oddHBand="1" w:evenHBand="0" w:firstRowFirstColumn="0" w:firstRowLastColumn="0" w:lastRowFirstColumn="0" w:lastRowLastColumn="0"/>
              <w:rPr>
                <w:bCs/>
              </w:rPr>
            </w:pPr>
          </w:p>
        </w:tc>
        <w:tc>
          <w:tcPr>
            <w:tcW w:w="2335" w:type="dxa"/>
          </w:tcPr>
          <w:p w14:paraId="487BBCD6" w14:textId="0442268F" w:rsidR="00992A57" w:rsidRPr="008912D6" w:rsidRDefault="00992A57">
            <w:pPr>
              <w:cnfStyle w:val="000000100000" w:firstRow="0" w:lastRow="0" w:firstColumn="0" w:lastColumn="0" w:oddVBand="0" w:evenVBand="0" w:oddHBand="1" w:evenHBand="0" w:firstRowFirstColumn="0" w:firstRowLastColumn="0" w:lastRowFirstColumn="0" w:lastRowLastColumn="0"/>
              <w:rPr>
                <w:bCs/>
              </w:rPr>
            </w:pPr>
          </w:p>
        </w:tc>
      </w:tr>
      <w:tr w:rsidR="00992A57" w14:paraId="497223F8" w14:textId="77777777">
        <w:trPr>
          <w:jc w:val="center"/>
        </w:trPr>
        <w:tc>
          <w:tcPr>
            <w:cnfStyle w:val="001000000000" w:firstRow="0" w:lastRow="0" w:firstColumn="1" w:lastColumn="0" w:oddVBand="0" w:evenVBand="0" w:oddHBand="0" w:evenHBand="0" w:firstRowFirstColumn="0" w:firstRowLastColumn="0" w:lastRowFirstColumn="0" w:lastRowLastColumn="0"/>
            <w:tcW w:w="1620" w:type="dxa"/>
          </w:tcPr>
          <w:p w14:paraId="29D39D20" w14:textId="279E0D38" w:rsidR="00992A57" w:rsidRDefault="00992A57">
            <w:pPr>
              <w:rPr>
                <w:bCs/>
              </w:rPr>
            </w:pPr>
          </w:p>
        </w:tc>
        <w:tc>
          <w:tcPr>
            <w:tcW w:w="1890" w:type="dxa"/>
          </w:tcPr>
          <w:p w14:paraId="363F9BCF" w14:textId="1C05DA8D" w:rsidR="00992A57" w:rsidRDefault="00992A57">
            <w:pPr>
              <w:cnfStyle w:val="000000000000" w:firstRow="0" w:lastRow="0" w:firstColumn="0" w:lastColumn="0" w:oddVBand="0" w:evenVBand="0" w:oddHBand="0" w:evenHBand="0" w:firstRowFirstColumn="0" w:firstRowLastColumn="0" w:lastRowFirstColumn="0" w:lastRowLastColumn="0"/>
              <w:rPr>
                <w:bCs/>
              </w:rPr>
            </w:pPr>
          </w:p>
        </w:tc>
        <w:tc>
          <w:tcPr>
            <w:tcW w:w="1730" w:type="dxa"/>
          </w:tcPr>
          <w:p w14:paraId="41491D1B" w14:textId="1E1B6531" w:rsidR="00992A57" w:rsidRDefault="00992A57">
            <w:pPr>
              <w:cnfStyle w:val="000000000000" w:firstRow="0" w:lastRow="0" w:firstColumn="0" w:lastColumn="0" w:oddVBand="0" w:evenVBand="0" w:oddHBand="0" w:evenHBand="0" w:firstRowFirstColumn="0" w:firstRowLastColumn="0" w:lastRowFirstColumn="0" w:lastRowLastColumn="0"/>
              <w:rPr>
                <w:bCs/>
              </w:rPr>
            </w:pPr>
          </w:p>
        </w:tc>
        <w:tc>
          <w:tcPr>
            <w:tcW w:w="1425" w:type="dxa"/>
          </w:tcPr>
          <w:p w14:paraId="2CEE6489" w14:textId="467C0011" w:rsidR="00992A57" w:rsidRDefault="00992A57">
            <w:pPr>
              <w:cnfStyle w:val="000000000000" w:firstRow="0" w:lastRow="0" w:firstColumn="0" w:lastColumn="0" w:oddVBand="0" w:evenVBand="0" w:oddHBand="0" w:evenHBand="0" w:firstRowFirstColumn="0" w:firstRowLastColumn="0" w:lastRowFirstColumn="0" w:lastRowLastColumn="0"/>
              <w:rPr>
                <w:bCs/>
              </w:rPr>
            </w:pPr>
          </w:p>
        </w:tc>
        <w:tc>
          <w:tcPr>
            <w:tcW w:w="2335" w:type="dxa"/>
          </w:tcPr>
          <w:p w14:paraId="5093996F" w14:textId="6267E2FD" w:rsidR="00992A57" w:rsidRPr="008912D6" w:rsidRDefault="00992A57">
            <w:pPr>
              <w:cnfStyle w:val="000000000000" w:firstRow="0" w:lastRow="0" w:firstColumn="0" w:lastColumn="0" w:oddVBand="0" w:evenVBand="0" w:oddHBand="0" w:evenHBand="0" w:firstRowFirstColumn="0" w:firstRowLastColumn="0" w:lastRowFirstColumn="0" w:lastRowLastColumn="0"/>
              <w:rPr>
                <w:bCs/>
              </w:rPr>
            </w:pPr>
          </w:p>
        </w:tc>
      </w:tr>
      <w:tr w:rsidR="00C16DF2" w14:paraId="0459A60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3ADAC978" w14:textId="32FE5995" w:rsidR="00C16DF2" w:rsidRDefault="00C16DF2" w:rsidP="00C16DF2">
            <w:pPr>
              <w:rPr>
                <w:bCs/>
              </w:rPr>
            </w:pPr>
          </w:p>
        </w:tc>
        <w:tc>
          <w:tcPr>
            <w:tcW w:w="1890" w:type="dxa"/>
          </w:tcPr>
          <w:p w14:paraId="766FDB67" w14:textId="4592FCF0" w:rsidR="00C16DF2" w:rsidRDefault="00C16DF2" w:rsidP="00C16DF2">
            <w:pPr>
              <w:cnfStyle w:val="000000100000" w:firstRow="0" w:lastRow="0" w:firstColumn="0" w:lastColumn="0" w:oddVBand="0" w:evenVBand="0" w:oddHBand="1" w:evenHBand="0" w:firstRowFirstColumn="0" w:firstRowLastColumn="0" w:lastRowFirstColumn="0" w:lastRowLastColumn="0"/>
              <w:rPr>
                <w:bCs/>
              </w:rPr>
            </w:pPr>
          </w:p>
        </w:tc>
        <w:tc>
          <w:tcPr>
            <w:tcW w:w="1730" w:type="dxa"/>
          </w:tcPr>
          <w:p w14:paraId="3C410451" w14:textId="19F776BD" w:rsidR="00C16DF2" w:rsidRDefault="00C16DF2" w:rsidP="00C16DF2">
            <w:pPr>
              <w:cnfStyle w:val="000000100000" w:firstRow="0" w:lastRow="0" w:firstColumn="0" w:lastColumn="0" w:oddVBand="0" w:evenVBand="0" w:oddHBand="1" w:evenHBand="0" w:firstRowFirstColumn="0" w:firstRowLastColumn="0" w:lastRowFirstColumn="0" w:lastRowLastColumn="0"/>
              <w:rPr>
                <w:bCs/>
              </w:rPr>
            </w:pPr>
          </w:p>
        </w:tc>
        <w:tc>
          <w:tcPr>
            <w:tcW w:w="1425" w:type="dxa"/>
          </w:tcPr>
          <w:p w14:paraId="254F61AF" w14:textId="1454F2E8" w:rsidR="00C16DF2" w:rsidRDefault="00C16DF2" w:rsidP="00C16DF2">
            <w:pPr>
              <w:cnfStyle w:val="000000100000" w:firstRow="0" w:lastRow="0" w:firstColumn="0" w:lastColumn="0" w:oddVBand="0" w:evenVBand="0" w:oddHBand="1" w:evenHBand="0" w:firstRowFirstColumn="0" w:firstRowLastColumn="0" w:lastRowFirstColumn="0" w:lastRowLastColumn="0"/>
              <w:rPr>
                <w:bCs/>
              </w:rPr>
            </w:pPr>
          </w:p>
        </w:tc>
        <w:tc>
          <w:tcPr>
            <w:tcW w:w="2335" w:type="dxa"/>
          </w:tcPr>
          <w:p w14:paraId="71632A46" w14:textId="756DE772" w:rsidR="00C16DF2" w:rsidRPr="008912D6" w:rsidRDefault="00C16DF2" w:rsidP="00C16DF2">
            <w:pPr>
              <w:cnfStyle w:val="000000100000" w:firstRow="0" w:lastRow="0" w:firstColumn="0" w:lastColumn="0" w:oddVBand="0" w:evenVBand="0" w:oddHBand="1" w:evenHBand="0" w:firstRowFirstColumn="0" w:firstRowLastColumn="0" w:lastRowFirstColumn="0" w:lastRowLastColumn="0"/>
              <w:rPr>
                <w:bCs/>
              </w:rPr>
            </w:pPr>
          </w:p>
        </w:tc>
      </w:tr>
      <w:tr w:rsidR="00C16DF2" w14:paraId="0621ED27" w14:textId="77777777">
        <w:trPr>
          <w:jc w:val="center"/>
        </w:trPr>
        <w:tc>
          <w:tcPr>
            <w:cnfStyle w:val="001000000000" w:firstRow="0" w:lastRow="0" w:firstColumn="1" w:lastColumn="0" w:oddVBand="0" w:evenVBand="0" w:oddHBand="0" w:evenHBand="0" w:firstRowFirstColumn="0" w:firstRowLastColumn="0" w:lastRowFirstColumn="0" w:lastRowLastColumn="0"/>
            <w:tcW w:w="1620" w:type="dxa"/>
          </w:tcPr>
          <w:p w14:paraId="7E4267D3" w14:textId="5E8B32DD" w:rsidR="00C16DF2" w:rsidRDefault="00C16DF2" w:rsidP="00C16DF2">
            <w:pPr>
              <w:rPr>
                <w:bCs/>
              </w:rPr>
            </w:pPr>
          </w:p>
        </w:tc>
        <w:tc>
          <w:tcPr>
            <w:tcW w:w="1890" w:type="dxa"/>
          </w:tcPr>
          <w:p w14:paraId="54960655" w14:textId="34E55F71" w:rsidR="00C16DF2" w:rsidRDefault="00C16DF2" w:rsidP="00C16DF2">
            <w:pPr>
              <w:cnfStyle w:val="000000000000" w:firstRow="0" w:lastRow="0" w:firstColumn="0" w:lastColumn="0" w:oddVBand="0" w:evenVBand="0" w:oddHBand="0" w:evenHBand="0" w:firstRowFirstColumn="0" w:firstRowLastColumn="0" w:lastRowFirstColumn="0" w:lastRowLastColumn="0"/>
              <w:rPr>
                <w:bCs/>
              </w:rPr>
            </w:pPr>
          </w:p>
        </w:tc>
        <w:tc>
          <w:tcPr>
            <w:tcW w:w="1730" w:type="dxa"/>
          </w:tcPr>
          <w:p w14:paraId="1A7DCE50" w14:textId="76E11B68" w:rsidR="00C16DF2" w:rsidRDefault="00C16DF2" w:rsidP="00C16DF2">
            <w:pPr>
              <w:cnfStyle w:val="000000000000" w:firstRow="0" w:lastRow="0" w:firstColumn="0" w:lastColumn="0" w:oddVBand="0" w:evenVBand="0" w:oddHBand="0" w:evenHBand="0" w:firstRowFirstColumn="0" w:firstRowLastColumn="0" w:lastRowFirstColumn="0" w:lastRowLastColumn="0"/>
              <w:rPr>
                <w:bCs/>
              </w:rPr>
            </w:pPr>
          </w:p>
        </w:tc>
        <w:tc>
          <w:tcPr>
            <w:tcW w:w="1425" w:type="dxa"/>
          </w:tcPr>
          <w:p w14:paraId="676087F6" w14:textId="64CBBB66" w:rsidR="00C16DF2" w:rsidRDefault="00C16DF2" w:rsidP="00C16DF2">
            <w:pPr>
              <w:cnfStyle w:val="000000000000" w:firstRow="0" w:lastRow="0" w:firstColumn="0" w:lastColumn="0" w:oddVBand="0" w:evenVBand="0" w:oddHBand="0" w:evenHBand="0" w:firstRowFirstColumn="0" w:firstRowLastColumn="0" w:lastRowFirstColumn="0" w:lastRowLastColumn="0"/>
              <w:rPr>
                <w:bCs/>
              </w:rPr>
            </w:pPr>
          </w:p>
        </w:tc>
        <w:tc>
          <w:tcPr>
            <w:tcW w:w="2335" w:type="dxa"/>
          </w:tcPr>
          <w:p w14:paraId="7D4CCB58" w14:textId="62BF6D29" w:rsidR="00C16DF2" w:rsidRPr="008912D6" w:rsidRDefault="00C16DF2" w:rsidP="00C16DF2">
            <w:pPr>
              <w:cnfStyle w:val="000000000000" w:firstRow="0" w:lastRow="0" w:firstColumn="0" w:lastColumn="0" w:oddVBand="0" w:evenVBand="0" w:oddHBand="0" w:evenHBand="0" w:firstRowFirstColumn="0" w:firstRowLastColumn="0" w:lastRowFirstColumn="0" w:lastRowLastColumn="0"/>
              <w:rPr>
                <w:bCs/>
              </w:rPr>
            </w:pPr>
          </w:p>
        </w:tc>
      </w:tr>
      <w:tr w:rsidR="00C16DF2" w14:paraId="2E22DF6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5E93A025" w14:textId="33995C68" w:rsidR="00C16DF2" w:rsidRDefault="00C16DF2" w:rsidP="00C16DF2">
            <w:pPr>
              <w:rPr>
                <w:bCs/>
              </w:rPr>
            </w:pPr>
          </w:p>
        </w:tc>
        <w:tc>
          <w:tcPr>
            <w:tcW w:w="1890" w:type="dxa"/>
          </w:tcPr>
          <w:p w14:paraId="6073A75F" w14:textId="043D0299" w:rsidR="00C16DF2" w:rsidRDefault="00C16DF2" w:rsidP="00C16DF2">
            <w:pPr>
              <w:cnfStyle w:val="000000100000" w:firstRow="0" w:lastRow="0" w:firstColumn="0" w:lastColumn="0" w:oddVBand="0" w:evenVBand="0" w:oddHBand="1" w:evenHBand="0" w:firstRowFirstColumn="0" w:firstRowLastColumn="0" w:lastRowFirstColumn="0" w:lastRowLastColumn="0"/>
              <w:rPr>
                <w:bCs/>
              </w:rPr>
            </w:pPr>
          </w:p>
        </w:tc>
        <w:tc>
          <w:tcPr>
            <w:tcW w:w="1730" w:type="dxa"/>
          </w:tcPr>
          <w:p w14:paraId="4FE8D1FC" w14:textId="718B3354" w:rsidR="00C16DF2" w:rsidRDefault="00C16DF2" w:rsidP="00C16DF2">
            <w:pPr>
              <w:cnfStyle w:val="000000100000" w:firstRow="0" w:lastRow="0" w:firstColumn="0" w:lastColumn="0" w:oddVBand="0" w:evenVBand="0" w:oddHBand="1" w:evenHBand="0" w:firstRowFirstColumn="0" w:firstRowLastColumn="0" w:lastRowFirstColumn="0" w:lastRowLastColumn="0"/>
              <w:rPr>
                <w:bCs/>
              </w:rPr>
            </w:pPr>
          </w:p>
        </w:tc>
        <w:tc>
          <w:tcPr>
            <w:tcW w:w="1425" w:type="dxa"/>
          </w:tcPr>
          <w:p w14:paraId="31CC8EA8" w14:textId="1B784F69" w:rsidR="00C16DF2" w:rsidRDefault="00C16DF2" w:rsidP="00C16DF2">
            <w:pPr>
              <w:cnfStyle w:val="000000100000" w:firstRow="0" w:lastRow="0" w:firstColumn="0" w:lastColumn="0" w:oddVBand="0" w:evenVBand="0" w:oddHBand="1" w:evenHBand="0" w:firstRowFirstColumn="0" w:firstRowLastColumn="0" w:lastRowFirstColumn="0" w:lastRowLastColumn="0"/>
              <w:rPr>
                <w:bCs/>
              </w:rPr>
            </w:pPr>
          </w:p>
        </w:tc>
        <w:tc>
          <w:tcPr>
            <w:tcW w:w="2335" w:type="dxa"/>
          </w:tcPr>
          <w:p w14:paraId="0F89A245" w14:textId="1D2B26B2" w:rsidR="00C16DF2" w:rsidRPr="008912D6" w:rsidRDefault="00C16DF2" w:rsidP="00C16DF2">
            <w:pPr>
              <w:cnfStyle w:val="000000100000" w:firstRow="0" w:lastRow="0" w:firstColumn="0" w:lastColumn="0" w:oddVBand="0" w:evenVBand="0" w:oddHBand="1" w:evenHBand="0" w:firstRowFirstColumn="0" w:firstRowLastColumn="0" w:lastRowFirstColumn="0" w:lastRowLastColumn="0"/>
              <w:rPr>
                <w:bCs/>
              </w:rPr>
            </w:pPr>
          </w:p>
        </w:tc>
      </w:tr>
      <w:tr w:rsidR="00C16DF2" w14:paraId="1D97BB93" w14:textId="77777777">
        <w:trPr>
          <w:jc w:val="center"/>
        </w:trPr>
        <w:tc>
          <w:tcPr>
            <w:cnfStyle w:val="001000000000" w:firstRow="0" w:lastRow="0" w:firstColumn="1" w:lastColumn="0" w:oddVBand="0" w:evenVBand="0" w:oddHBand="0" w:evenHBand="0" w:firstRowFirstColumn="0" w:firstRowLastColumn="0" w:lastRowFirstColumn="0" w:lastRowLastColumn="0"/>
            <w:tcW w:w="1620" w:type="dxa"/>
          </w:tcPr>
          <w:p w14:paraId="467B6A46" w14:textId="0B96FA36" w:rsidR="00C16DF2" w:rsidRDefault="00C16DF2" w:rsidP="00C16DF2">
            <w:pPr>
              <w:rPr>
                <w:bCs/>
              </w:rPr>
            </w:pPr>
          </w:p>
        </w:tc>
        <w:tc>
          <w:tcPr>
            <w:tcW w:w="1890" w:type="dxa"/>
          </w:tcPr>
          <w:p w14:paraId="07A8CDCF" w14:textId="3CD9D396" w:rsidR="00C16DF2" w:rsidRDefault="00C16DF2" w:rsidP="00C16DF2">
            <w:pPr>
              <w:cnfStyle w:val="000000000000" w:firstRow="0" w:lastRow="0" w:firstColumn="0" w:lastColumn="0" w:oddVBand="0" w:evenVBand="0" w:oddHBand="0" w:evenHBand="0" w:firstRowFirstColumn="0" w:firstRowLastColumn="0" w:lastRowFirstColumn="0" w:lastRowLastColumn="0"/>
              <w:rPr>
                <w:bCs/>
              </w:rPr>
            </w:pPr>
          </w:p>
        </w:tc>
        <w:tc>
          <w:tcPr>
            <w:tcW w:w="1730" w:type="dxa"/>
          </w:tcPr>
          <w:p w14:paraId="71EC3186" w14:textId="240A5E8C" w:rsidR="00C16DF2" w:rsidRDefault="00C16DF2" w:rsidP="00C16DF2">
            <w:pPr>
              <w:cnfStyle w:val="000000000000" w:firstRow="0" w:lastRow="0" w:firstColumn="0" w:lastColumn="0" w:oddVBand="0" w:evenVBand="0" w:oddHBand="0" w:evenHBand="0" w:firstRowFirstColumn="0" w:firstRowLastColumn="0" w:lastRowFirstColumn="0" w:lastRowLastColumn="0"/>
              <w:rPr>
                <w:bCs/>
              </w:rPr>
            </w:pPr>
          </w:p>
        </w:tc>
        <w:tc>
          <w:tcPr>
            <w:tcW w:w="1425" w:type="dxa"/>
          </w:tcPr>
          <w:p w14:paraId="0D34CBC8" w14:textId="0D9B90B0" w:rsidR="00C16DF2" w:rsidRPr="00190445" w:rsidRDefault="00C16DF2" w:rsidP="00C16DF2">
            <w:pPr>
              <w:cnfStyle w:val="000000000000" w:firstRow="0" w:lastRow="0" w:firstColumn="0" w:lastColumn="0" w:oddVBand="0" w:evenVBand="0" w:oddHBand="0" w:evenHBand="0" w:firstRowFirstColumn="0" w:firstRowLastColumn="0" w:lastRowFirstColumn="0" w:lastRowLastColumn="0"/>
              <w:rPr>
                <w:bCs/>
              </w:rPr>
            </w:pPr>
          </w:p>
        </w:tc>
        <w:tc>
          <w:tcPr>
            <w:tcW w:w="2335" w:type="dxa"/>
          </w:tcPr>
          <w:p w14:paraId="3D7A72ED" w14:textId="1D7ADDCC" w:rsidR="00C16DF2" w:rsidRPr="0050686A" w:rsidRDefault="00C16DF2" w:rsidP="00C16DF2">
            <w:pPr>
              <w:cnfStyle w:val="000000000000" w:firstRow="0" w:lastRow="0" w:firstColumn="0" w:lastColumn="0" w:oddVBand="0" w:evenVBand="0" w:oddHBand="0" w:evenHBand="0" w:firstRowFirstColumn="0" w:firstRowLastColumn="0" w:lastRowFirstColumn="0" w:lastRowLastColumn="0"/>
              <w:rPr>
                <w:bCs/>
              </w:rPr>
            </w:pPr>
          </w:p>
        </w:tc>
      </w:tr>
      <w:tr w:rsidR="00C16DF2" w14:paraId="57D6BF8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2D68B533" w14:textId="237D231A" w:rsidR="00C16DF2" w:rsidRDefault="00C16DF2" w:rsidP="00C16DF2">
            <w:pPr>
              <w:rPr>
                <w:bCs/>
              </w:rPr>
            </w:pPr>
          </w:p>
        </w:tc>
        <w:tc>
          <w:tcPr>
            <w:tcW w:w="1890" w:type="dxa"/>
          </w:tcPr>
          <w:p w14:paraId="24FC2FC9" w14:textId="7F6A138E" w:rsidR="00C16DF2" w:rsidRDefault="00C16DF2" w:rsidP="00C16DF2">
            <w:pPr>
              <w:cnfStyle w:val="000000100000" w:firstRow="0" w:lastRow="0" w:firstColumn="0" w:lastColumn="0" w:oddVBand="0" w:evenVBand="0" w:oddHBand="1" w:evenHBand="0" w:firstRowFirstColumn="0" w:firstRowLastColumn="0" w:lastRowFirstColumn="0" w:lastRowLastColumn="0"/>
              <w:rPr>
                <w:bCs/>
              </w:rPr>
            </w:pPr>
          </w:p>
        </w:tc>
        <w:tc>
          <w:tcPr>
            <w:tcW w:w="1730" w:type="dxa"/>
          </w:tcPr>
          <w:p w14:paraId="79C1E5B8" w14:textId="7610D937" w:rsidR="00C16DF2" w:rsidRDefault="00C16DF2" w:rsidP="00C16DF2">
            <w:pPr>
              <w:cnfStyle w:val="000000100000" w:firstRow="0" w:lastRow="0" w:firstColumn="0" w:lastColumn="0" w:oddVBand="0" w:evenVBand="0" w:oddHBand="1" w:evenHBand="0" w:firstRowFirstColumn="0" w:firstRowLastColumn="0" w:lastRowFirstColumn="0" w:lastRowLastColumn="0"/>
              <w:rPr>
                <w:bCs/>
              </w:rPr>
            </w:pPr>
          </w:p>
        </w:tc>
        <w:tc>
          <w:tcPr>
            <w:tcW w:w="1425" w:type="dxa"/>
          </w:tcPr>
          <w:p w14:paraId="1E96AA6C" w14:textId="1E386F41" w:rsidR="00C16DF2" w:rsidRPr="00190445" w:rsidRDefault="00C16DF2" w:rsidP="00C16DF2">
            <w:pPr>
              <w:cnfStyle w:val="000000100000" w:firstRow="0" w:lastRow="0" w:firstColumn="0" w:lastColumn="0" w:oddVBand="0" w:evenVBand="0" w:oddHBand="1" w:evenHBand="0" w:firstRowFirstColumn="0" w:firstRowLastColumn="0" w:lastRowFirstColumn="0" w:lastRowLastColumn="0"/>
              <w:rPr>
                <w:bCs/>
              </w:rPr>
            </w:pPr>
          </w:p>
        </w:tc>
        <w:tc>
          <w:tcPr>
            <w:tcW w:w="2335" w:type="dxa"/>
          </w:tcPr>
          <w:p w14:paraId="1514BE57" w14:textId="3A099F7E" w:rsidR="00C16DF2" w:rsidRPr="0050686A" w:rsidRDefault="00C16DF2" w:rsidP="00C16DF2">
            <w:pPr>
              <w:cnfStyle w:val="000000100000" w:firstRow="0" w:lastRow="0" w:firstColumn="0" w:lastColumn="0" w:oddVBand="0" w:evenVBand="0" w:oddHBand="1" w:evenHBand="0" w:firstRowFirstColumn="0" w:firstRowLastColumn="0" w:lastRowFirstColumn="0" w:lastRowLastColumn="0"/>
              <w:rPr>
                <w:bCs/>
              </w:rPr>
            </w:pPr>
          </w:p>
        </w:tc>
      </w:tr>
      <w:tr w:rsidR="00C16DF2" w14:paraId="6FEB82DC" w14:textId="77777777">
        <w:trPr>
          <w:jc w:val="center"/>
        </w:trPr>
        <w:tc>
          <w:tcPr>
            <w:cnfStyle w:val="001000000000" w:firstRow="0" w:lastRow="0" w:firstColumn="1" w:lastColumn="0" w:oddVBand="0" w:evenVBand="0" w:oddHBand="0" w:evenHBand="0" w:firstRowFirstColumn="0" w:firstRowLastColumn="0" w:lastRowFirstColumn="0" w:lastRowLastColumn="0"/>
            <w:tcW w:w="1620" w:type="dxa"/>
          </w:tcPr>
          <w:p w14:paraId="3B66E9A7" w14:textId="2638AFFB" w:rsidR="00C16DF2" w:rsidRDefault="00C16DF2" w:rsidP="00C16DF2">
            <w:pPr>
              <w:rPr>
                <w:bCs/>
              </w:rPr>
            </w:pPr>
          </w:p>
        </w:tc>
        <w:tc>
          <w:tcPr>
            <w:tcW w:w="1890" w:type="dxa"/>
          </w:tcPr>
          <w:p w14:paraId="761E75B2" w14:textId="1EE3DA41" w:rsidR="00C16DF2" w:rsidRDefault="00C16DF2" w:rsidP="00C16DF2">
            <w:pPr>
              <w:cnfStyle w:val="000000000000" w:firstRow="0" w:lastRow="0" w:firstColumn="0" w:lastColumn="0" w:oddVBand="0" w:evenVBand="0" w:oddHBand="0" w:evenHBand="0" w:firstRowFirstColumn="0" w:firstRowLastColumn="0" w:lastRowFirstColumn="0" w:lastRowLastColumn="0"/>
              <w:rPr>
                <w:bCs/>
              </w:rPr>
            </w:pPr>
          </w:p>
        </w:tc>
        <w:tc>
          <w:tcPr>
            <w:tcW w:w="1730" w:type="dxa"/>
          </w:tcPr>
          <w:p w14:paraId="09961931" w14:textId="48707FCE" w:rsidR="00C16DF2" w:rsidRDefault="00C16DF2" w:rsidP="00C16DF2">
            <w:pPr>
              <w:cnfStyle w:val="000000000000" w:firstRow="0" w:lastRow="0" w:firstColumn="0" w:lastColumn="0" w:oddVBand="0" w:evenVBand="0" w:oddHBand="0" w:evenHBand="0" w:firstRowFirstColumn="0" w:firstRowLastColumn="0" w:lastRowFirstColumn="0" w:lastRowLastColumn="0"/>
              <w:rPr>
                <w:bCs/>
              </w:rPr>
            </w:pPr>
          </w:p>
        </w:tc>
        <w:tc>
          <w:tcPr>
            <w:tcW w:w="1425" w:type="dxa"/>
          </w:tcPr>
          <w:p w14:paraId="5E511316" w14:textId="4679C467" w:rsidR="00C16DF2" w:rsidRPr="00190445" w:rsidRDefault="00C16DF2" w:rsidP="00C16DF2">
            <w:pPr>
              <w:cnfStyle w:val="000000000000" w:firstRow="0" w:lastRow="0" w:firstColumn="0" w:lastColumn="0" w:oddVBand="0" w:evenVBand="0" w:oddHBand="0" w:evenHBand="0" w:firstRowFirstColumn="0" w:firstRowLastColumn="0" w:lastRowFirstColumn="0" w:lastRowLastColumn="0"/>
              <w:rPr>
                <w:bCs/>
              </w:rPr>
            </w:pPr>
          </w:p>
        </w:tc>
        <w:tc>
          <w:tcPr>
            <w:tcW w:w="2335" w:type="dxa"/>
          </w:tcPr>
          <w:p w14:paraId="67562C39" w14:textId="12B8614F" w:rsidR="00C16DF2" w:rsidRPr="0050686A" w:rsidRDefault="00C16DF2" w:rsidP="00C16DF2">
            <w:pPr>
              <w:cnfStyle w:val="000000000000" w:firstRow="0" w:lastRow="0" w:firstColumn="0" w:lastColumn="0" w:oddVBand="0" w:evenVBand="0" w:oddHBand="0" w:evenHBand="0" w:firstRowFirstColumn="0" w:firstRowLastColumn="0" w:lastRowFirstColumn="0" w:lastRowLastColumn="0"/>
              <w:rPr>
                <w:bCs/>
              </w:rPr>
            </w:pPr>
          </w:p>
        </w:tc>
      </w:tr>
    </w:tbl>
    <w:p w14:paraId="7A4E66CE" w14:textId="77777777" w:rsidR="00992A57" w:rsidRDefault="00992A57" w:rsidP="00992A57"/>
    <w:p w14:paraId="555B3488" w14:textId="77777777" w:rsidR="00CA7E7D" w:rsidRPr="00CF2B11" w:rsidRDefault="00CA7E7D" w:rsidP="00CF2B11">
      <w:pPr>
        <w:rPr>
          <w:bCs/>
        </w:rPr>
      </w:pPr>
    </w:p>
    <w:p w14:paraId="1EA05269" w14:textId="77777777" w:rsidR="000F43FD" w:rsidRDefault="00681697" w:rsidP="00CF2B11">
      <w:pPr>
        <w:rPr>
          <w:b/>
          <w:bCs/>
        </w:rPr>
      </w:pPr>
      <w:r>
        <w:rPr>
          <w:b/>
          <w:bCs/>
        </w:rPr>
        <w:t xml:space="preserve">List of </w:t>
      </w:r>
      <w:r w:rsidR="003F0C6D" w:rsidRPr="003F0C6D">
        <w:rPr>
          <w:b/>
          <w:bCs/>
        </w:rPr>
        <w:t>Prerequisite</w:t>
      </w:r>
      <w:r>
        <w:rPr>
          <w:b/>
          <w:bCs/>
        </w:rPr>
        <w:t>s</w:t>
      </w:r>
    </w:p>
    <w:p w14:paraId="47678ABA" w14:textId="77777777" w:rsidR="000F43FD" w:rsidRDefault="000F43FD" w:rsidP="000F43FD">
      <w:pPr>
        <w:rPr>
          <w:color w:val="000000"/>
        </w:rPr>
      </w:pPr>
      <w:r>
        <w:rPr>
          <w:color w:val="000000"/>
        </w:rPr>
        <w:t xml:space="preserve">One or more of Ontario Secondary School </w:t>
      </w:r>
      <w:r>
        <w:rPr>
          <w:color w:val="000000"/>
          <w:u w:val="single"/>
        </w:rPr>
        <w:t>MCF3M</w:t>
      </w:r>
      <w:r>
        <w:rPr>
          <w:color w:val="000000"/>
        </w:rPr>
        <w:t xml:space="preserve">, </w:t>
      </w:r>
      <w:r>
        <w:rPr>
          <w:color w:val="000000"/>
          <w:u w:val="single"/>
        </w:rPr>
        <w:t>MCR3U</w:t>
      </w:r>
      <w:r>
        <w:rPr>
          <w:color w:val="000000"/>
        </w:rPr>
        <w:t>, or equivalent.</w:t>
      </w:r>
    </w:p>
    <w:p w14:paraId="20256314" w14:textId="77777777" w:rsidR="000F43FD" w:rsidRDefault="000F43FD" w:rsidP="00CF2B11">
      <w:pPr>
        <w:rPr>
          <w:bCs/>
          <w:color w:val="FF0000"/>
        </w:rPr>
      </w:pPr>
    </w:p>
    <w:p w14:paraId="3ED6424A" w14:textId="77777777" w:rsidR="00177A0E" w:rsidRPr="002D603E" w:rsidRDefault="00177A0E" w:rsidP="00177A0E">
      <w:pPr>
        <w:rPr>
          <w:color w:val="000000"/>
        </w:rPr>
      </w:pPr>
      <w:r>
        <w:rPr>
          <w:b/>
          <w:bCs/>
        </w:rPr>
        <w:t xml:space="preserve">List of </w:t>
      </w:r>
      <w:proofErr w:type="spellStart"/>
      <w:r w:rsidRPr="002D603E">
        <w:rPr>
          <w:b/>
          <w:bCs/>
          <w:color w:val="000000"/>
        </w:rPr>
        <w:t>Antirequisites</w:t>
      </w:r>
      <w:proofErr w:type="spellEnd"/>
      <w:r w:rsidRPr="002D603E">
        <w:rPr>
          <w:b/>
          <w:bCs/>
          <w:color w:val="000000"/>
        </w:rPr>
        <w:t xml:space="preserve"> </w:t>
      </w:r>
    </w:p>
    <w:p w14:paraId="3CB9D824" w14:textId="77777777" w:rsidR="00177A0E" w:rsidRDefault="00177A0E" w:rsidP="00177A0E">
      <w:pPr>
        <w:rPr>
          <w:color w:val="000000"/>
        </w:rPr>
      </w:pPr>
      <w:r w:rsidRPr="002D603E">
        <w:rPr>
          <w:color w:val="000000"/>
        </w:rPr>
        <w:t>Applied Mathematics 1411A/B, 2811B, Mathematics 1600A/B, 2120A/B, 2155F/G, 2211A/B.</w:t>
      </w:r>
    </w:p>
    <w:p w14:paraId="0E45FEE5" w14:textId="77777777" w:rsidR="00CA7E7D" w:rsidRDefault="00CA7E7D" w:rsidP="00CF2B11">
      <w:pPr>
        <w:rPr>
          <w:bCs/>
        </w:rPr>
      </w:pPr>
    </w:p>
    <w:p w14:paraId="69262065" w14:textId="6C09F28B" w:rsidR="00CF2B11" w:rsidRDefault="00CF2B11" w:rsidP="008B1594">
      <w:pPr>
        <w:ind w:left="851" w:right="872"/>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0D3A67">
        <w:rPr>
          <w:bCs/>
        </w:rPr>
        <w:t>the</w:t>
      </w:r>
      <w:r w:rsidRPr="00CF2B11">
        <w:rPr>
          <w:bCs/>
        </w:rPr>
        <w:t xml:space="preserve"> </w:t>
      </w:r>
      <w:r w:rsidR="00E84519" w:rsidRPr="008B1594">
        <w:rPr>
          <w:bCs/>
        </w:rPr>
        <w:t>Department</w:t>
      </w:r>
      <w:r w:rsidR="000D3A67" w:rsidRPr="008B1594">
        <w:rPr>
          <w:bCs/>
        </w:rPr>
        <w:t xml:space="preserve"> of</w:t>
      </w:r>
      <w:r w:rsidR="008B1594">
        <w:rPr>
          <w:bCs/>
        </w:rPr>
        <w:t xml:space="preserve"> Mathematics</w:t>
      </w:r>
      <w:r w:rsidR="003E0231">
        <w:rPr>
          <w:bCs/>
        </w:rPr>
        <w:t xml:space="preserve"> </w:t>
      </w:r>
      <w:r w:rsidRPr="00CF2B11">
        <w:rPr>
          <w:bCs/>
        </w:rPr>
        <w:t xml:space="preserve">to enroll 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lastRenderedPageBreak/>
        <w:t>2. Instructor Information</w:t>
      </w:r>
    </w:p>
    <w:p w14:paraId="6579E955" w14:textId="0DACD5FA" w:rsidR="003F0C6D" w:rsidRDefault="00CF2B11" w:rsidP="00E76358">
      <w:pPr>
        <w:rPr>
          <w:bCs/>
        </w:rPr>
      </w:pPr>
      <w:r w:rsidRPr="003F0C6D">
        <w:rPr>
          <w:b/>
          <w:bCs/>
        </w:rPr>
        <w:br/>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9"/>
        <w:gridCol w:w="2250"/>
        <w:gridCol w:w="2088"/>
      </w:tblGrid>
      <w:tr w:rsidR="00411959" w:rsidRPr="00597639" w14:paraId="0E154C47" w14:textId="77777777">
        <w:trPr>
          <w:trHeight w:val="315"/>
          <w:jc w:val="center"/>
        </w:trPr>
        <w:tc>
          <w:tcPr>
            <w:tcW w:w="3879" w:type="dxa"/>
            <w:noWrap/>
            <w:vAlign w:val="center"/>
            <w:hideMark/>
          </w:tcPr>
          <w:p w14:paraId="1B00F7CC" w14:textId="77777777" w:rsidR="00411959" w:rsidRPr="00597639" w:rsidRDefault="00411959">
            <w:pPr>
              <w:jc w:val="center"/>
              <w:rPr>
                <w:rFonts w:cstheme="minorHAnsi"/>
                <w:b/>
                <w:bCs/>
                <w:color w:val="000000"/>
                <w:lang w:eastAsia="en-CA"/>
              </w:rPr>
            </w:pPr>
            <w:r w:rsidRPr="00597639">
              <w:rPr>
                <w:rFonts w:cstheme="minorHAnsi"/>
                <w:b/>
                <w:bCs/>
                <w:color w:val="000000"/>
                <w:lang w:eastAsia="en-CA"/>
              </w:rPr>
              <w:t>Instructors</w:t>
            </w:r>
          </w:p>
        </w:tc>
        <w:tc>
          <w:tcPr>
            <w:tcW w:w="2250" w:type="dxa"/>
            <w:noWrap/>
            <w:vAlign w:val="center"/>
            <w:hideMark/>
          </w:tcPr>
          <w:p w14:paraId="0F2F0396" w14:textId="77777777" w:rsidR="00411959" w:rsidRPr="00597639" w:rsidRDefault="00411959">
            <w:pPr>
              <w:jc w:val="center"/>
              <w:rPr>
                <w:rFonts w:cstheme="minorHAnsi"/>
                <w:b/>
                <w:bCs/>
                <w:color w:val="000000"/>
                <w:lang w:eastAsia="en-CA"/>
              </w:rPr>
            </w:pPr>
            <w:r w:rsidRPr="00597639">
              <w:rPr>
                <w:rFonts w:cstheme="minorHAnsi"/>
                <w:b/>
                <w:bCs/>
                <w:color w:val="000000"/>
                <w:lang w:eastAsia="en-CA"/>
              </w:rPr>
              <w:t>Email</w:t>
            </w:r>
          </w:p>
        </w:tc>
        <w:tc>
          <w:tcPr>
            <w:tcW w:w="2088" w:type="dxa"/>
            <w:noWrap/>
            <w:vAlign w:val="center"/>
            <w:hideMark/>
          </w:tcPr>
          <w:p w14:paraId="19A946FE" w14:textId="77777777" w:rsidR="00411959" w:rsidRPr="00597639" w:rsidRDefault="00411959">
            <w:pPr>
              <w:jc w:val="center"/>
              <w:rPr>
                <w:rFonts w:cstheme="minorHAnsi"/>
                <w:b/>
                <w:bCs/>
                <w:color w:val="000000"/>
                <w:lang w:eastAsia="en-CA"/>
              </w:rPr>
            </w:pPr>
            <w:r w:rsidRPr="00597639">
              <w:rPr>
                <w:rFonts w:cstheme="minorHAnsi"/>
                <w:b/>
                <w:bCs/>
                <w:color w:val="000000"/>
                <w:lang w:eastAsia="en-CA"/>
              </w:rPr>
              <w:t>Office</w:t>
            </w:r>
          </w:p>
        </w:tc>
      </w:tr>
      <w:tr w:rsidR="00411959" w:rsidRPr="00597639" w14:paraId="6D325FCB" w14:textId="77777777">
        <w:trPr>
          <w:trHeight w:val="315"/>
          <w:jc w:val="center"/>
        </w:trPr>
        <w:tc>
          <w:tcPr>
            <w:tcW w:w="3879" w:type="dxa"/>
            <w:noWrap/>
          </w:tcPr>
          <w:p w14:paraId="256C88A3" w14:textId="77777777" w:rsidR="00411959" w:rsidRPr="00597639" w:rsidRDefault="00411959">
            <w:pPr>
              <w:rPr>
                <w:rFonts w:cstheme="minorHAnsi"/>
                <w:color w:val="000000"/>
                <w:lang w:eastAsia="en-CA"/>
              </w:rPr>
            </w:pPr>
            <w:r w:rsidRPr="00054611">
              <w:rPr>
                <w:rFonts w:cstheme="minorHAnsi"/>
                <w:color w:val="000000"/>
                <w:lang w:eastAsia="en-CA"/>
              </w:rPr>
              <w:t xml:space="preserve">Dr. </w:t>
            </w:r>
            <w:r>
              <w:rPr>
                <w:rFonts w:cstheme="minorHAnsi"/>
                <w:color w:val="000000"/>
                <w:lang w:eastAsia="en-CA"/>
              </w:rPr>
              <w:t>Asghar Ghorbanpour</w:t>
            </w:r>
          </w:p>
          <w:p w14:paraId="4FC29AAC" w14:textId="77777777" w:rsidR="00411959" w:rsidRDefault="00411959">
            <w:pPr>
              <w:rPr>
                <w:rFonts w:cstheme="minorHAnsi"/>
                <w:color w:val="000000"/>
                <w:lang w:eastAsia="en-CA"/>
              </w:rPr>
            </w:pPr>
            <w:r w:rsidRPr="00597639">
              <w:rPr>
                <w:rFonts w:cstheme="minorHAnsi"/>
                <w:color w:val="000000"/>
                <w:lang w:eastAsia="en-CA"/>
              </w:rPr>
              <w:t>(Course Coordinator)</w:t>
            </w:r>
          </w:p>
        </w:tc>
        <w:tc>
          <w:tcPr>
            <w:tcW w:w="2250" w:type="dxa"/>
            <w:noWrap/>
          </w:tcPr>
          <w:p w14:paraId="77B4A0EE" w14:textId="77777777" w:rsidR="00411959" w:rsidRPr="00834882" w:rsidRDefault="00411959">
            <w:pPr>
              <w:rPr>
                <w:rFonts w:cstheme="minorHAnsi"/>
                <w:color w:val="000000"/>
                <w:lang w:eastAsia="en-CA"/>
              </w:rPr>
            </w:pPr>
            <w:r>
              <w:rPr>
                <w:rFonts w:cstheme="minorHAnsi"/>
                <w:color w:val="000000"/>
                <w:lang w:eastAsia="en-CA"/>
              </w:rPr>
              <w:t>aghorba@uwo.ca</w:t>
            </w:r>
          </w:p>
        </w:tc>
        <w:tc>
          <w:tcPr>
            <w:tcW w:w="2088" w:type="dxa"/>
            <w:noWrap/>
          </w:tcPr>
          <w:p w14:paraId="678ED29B" w14:textId="67C3E4C8" w:rsidR="00411959" w:rsidRDefault="00411959">
            <w:pPr>
              <w:rPr>
                <w:rFonts w:cstheme="minorHAnsi"/>
                <w:color w:val="000000"/>
                <w:lang w:eastAsia="en-CA"/>
              </w:rPr>
            </w:pPr>
          </w:p>
        </w:tc>
      </w:tr>
      <w:tr w:rsidR="002D468E" w:rsidRPr="00597639" w14:paraId="7195D0BF" w14:textId="77777777">
        <w:trPr>
          <w:trHeight w:val="315"/>
          <w:jc w:val="center"/>
        </w:trPr>
        <w:tc>
          <w:tcPr>
            <w:tcW w:w="3879" w:type="dxa"/>
            <w:noWrap/>
          </w:tcPr>
          <w:p w14:paraId="1EF919EA" w14:textId="09C07888" w:rsidR="002D468E" w:rsidRPr="00054611" w:rsidRDefault="0042785E">
            <w:pPr>
              <w:rPr>
                <w:rFonts w:cstheme="minorHAnsi"/>
                <w:color w:val="000000"/>
                <w:lang w:eastAsia="en-CA"/>
              </w:rPr>
            </w:pPr>
            <w:r>
              <w:rPr>
                <w:rFonts w:cstheme="minorHAnsi"/>
                <w:color w:val="000000"/>
                <w:lang w:eastAsia="en-CA"/>
              </w:rPr>
              <w:t xml:space="preserve">Dr. </w:t>
            </w:r>
            <w:r w:rsidRPr="0042785E">
              <w:rPr>
                <w:rFonts w:cstheme="minorHAnsi"/>
                <w:color w:val="000000"/>
                <w:lang w:eastAsia="en-CA"/>
              </w:rPr>
              <w:t>Khoa Nguyen</w:t>
            </w:r>
          </w:p>
        </w:tc>
        <w:tc>
          <w:tcPr>
            <w:tcW w:w="2250" w:type="dxa"/>
            <w:noWrap/>
          </w:tcPr>
          <w:p w14:paraId="5563DC8E" w14:textId="089B3AC0" w:rsidR="002D468E" w:rsidRDefault="0042785E">
            <w:pPr>
              <w:rPr>
                <w:rFonts w:cstheme="minorHAnsi"/>
                <w:color w:val="000000"/>
                <w:lang w:eastAsia="en-CA"/>
              </w:rPr>
            </w:pPr>
            <w:r w:rsidRPr="0042785E">
              <w:rPr>
                <w:rFonts w:cstheme="minorHAnsi"/>
                <w:color w:val="000000"/>
                <w:lang w:eastAsia="en-CA"/>
              </w:rPr>
              <w:t>knguyen@uwo.ca</w:t>
            </w:r>
          </w:p>
        </w:tc>
        <w:tc>
          <w:tcPr>
            <w:tcW w:w="2088" w:type="dxa"/>
            <w:noWrap/>
          </w:tcPr>
          <w:p w14:paraId="7311166A" w14:textId="612CBA20" w:rsidR="002D468E" w:rsidRDefault="002D468E" w:rsidP="005E5207">
            <w:pPr>
              <w:rPr>
                <w:rFonts w:cstheme="minorHAnsi"/>
                <w:color w:val="000000"/>
                <w:lang w:eastAsia="en-CA"/>
              </w:rPr>
            </w:pPr>
          </w:p>
        </w:tc>
      </w:tr>
      <w:tr w:rsidR="00411959" w:rsidRPr="00597639" w14:paraId="03E6F7D8" w14:textId="77777777">
        <w:trPr>
          <w:trHeight w:val="315"/>
          <w:jc w:val="center"/>
        </w:trPr>
        <w:tc>
          <w:tcPr>
            <w:tcW w:w="3879" w:type="dxa"/>
            <w:noWrap/>
          </w:tcPr>
          <w:p w14:paraId="4091E6A2" w14:textId="07ACDD0F" w:rsidR="00411959" w:rsidRPr="00054611" w:rsidRDefault="00411959">
            <w:pPr>
              <w:rPr>
                <w:rFonts w:cstheme="minorHAnsi"/>
                <w:color w:val="000000"/>
                <w:lang w:eastAsia="en-CA"/>
              </w:rPr>
            </w:pPr>
            <w:r>
              <w:rPr>
                <w:rFonts w:cstheme="minorHAnsi"/>
                <w:color w:val="000000"/>
                <w:lang w:eastAsia="en-CA"/>
              </w:rPr>
              <w:t xml:space="preserve">Dr. </w:t>
            </w:r>
            <w:r w:rsidR="002D468E">
              <w:rPr>
                <w:rFonts w:cstheme="minorHAnsi"/>
                <w:color w:val="000000"/>
                <w:lang w:eastAsia="en-CA"/>
              </w:rPr>
              <w:t>Allen O’Hara</w:t>
            </w:r>
          </w:p>
        </w:tc>
        <w:tc>
          <w:tcPr>
            <w:tcW w:w="2250" w:type="dxa"/>
            <w:noWrap/>
          </w:tcPr>
          <w:p w14:paraId="3849A04E" w14:textId="7902DF87" w:rsidR="00411959" w:rsidRDefault="00717A50">
            <w:pPr>
              <w:rPr>
                <w:rFonts w:cstheme="minorHAnsi"/>
                <w:color w:val="000000"/>
                <w:lang w:eastAsia="en-CA"/>
              </w:rPr>
            </w:pPr>
            <w:r w:rsidRPr="00717A50">
              <w:rPr>
                <w:rFonts w:cstheme="minorHAnsi"/>
                <w:color w:val="000000"/>
                <w:lang w:eastAsia="en-CA"/>
              </w:rPr>
              <w:t>aohara@uwo.ca</w:t>
            </w:r>
          </w:p>
        </w:tc>
        <w:tc>
          <w:tcPr>
            <w:tcW w:w="2088" w:type="dxa"/>
            <w:noWrap/>
          </w:tcPr>
          <w:p w14:paraId="7B97A6CD" w14:textId="0BED45EE" w:rsidR="00411959" w:rsidRDefault="00411959" w:rsidP="00717A50">
            <w:pPr>
              <w:rPr>
                <w:rFonts w:cstheme="minorHAnsi"/>
                <w:color w:val="000000"/>
                <w:lang w:eastAsia="en-CA"/>
              </w:rPr>
            </w:pPr>
          </w:p>
        </w:tc>
      </w:tr>
    </w:tbl>
    <w:p w14:paraId="0941487A" w14:textId="28863721" w:rsidR="00597639" w:rsidRDefault="00597639" w:rsidP="003F0C6D">
      <w:pPr>
        <w:rPr>
          <w:bCs/>
        </w:rPr>
      </w:pPr>
    </w:p>
    <w:p w14:paraId="23B04CD9" w14:textId="77777777" w:rsidR="00FF2090" w:rsidRPr="00AC21E3" w:rsidRDefault="00FF2090" w:rsidP="00FF2090">
      <w:pPr>
        <w:rPr>
          <w:b/>
        </w:rPr>
      </w:pPr>
      <w:r w:rsidRPr="00AC21E3">
        <w:rPr>
          <w:b/>
        </w:rPr>
        <w:t>Course Contact Policies</w:t>
      </w:r>
    </w:p>
    <w:p w14:paraId="3D80EE3C" w14:textId="77777777" w:rsidR="00FF2090" w:rsidRPr="000D445C" w:rsidRDefault="00FF2090" w:rsidP="00FF2090">
      <w:pPr>
        <w:pStyle w:val="ListParagraph"/>
        <w:numPr>
          <w:ilvl w:val="0"/>
          <w:numId w:val="7"/>
        </w:numPr>
        <w:rPr>
          <w:rFonts w:asciiTheme="majorBidi" w:hAnsiTheme="majorBidi" w:cstheme="majorBidi"/>
          <w:bCs/>
        </w:rPr>
      </w:pPr>
      <w:r w:rsidRPr="000D445C">
        <w:rPr>
          <w:rFonts w:asciiTheme="majorBidi" w:hAnsiTheme="majorBidi" w:cstheme="majorBidi"/>
          <w:bCs/>
        </w:rPr>
        <w:t xml:space="preserve">Students must use their Western </w:t>
      </w:r>
      <w:r>
        <w:rPr>
          <w:rFonts w:asciiTheme="majorBidi" w:hAnsiTheme="majorBidi" w:cstheme="majorBidi"/>
          <w:bCs/>
        </w:rPr>
        <w:t>(</w:t>
      </w:r>
      <w:r w:rsidRPr="009E216F">
        <w:rPr>
          <w:rFonts w:asciiTheme="majorBidi" w:hAnsiTheme="majorBidi" w:cstheme="majorBidi"/>
          <w:b/>
        </w:rPr>
        <w:t>@uwo.ca</w:t>
      </w:r>
      <w:r>
        <w:rPr>
          <w:rFonts w:asciiTheme="majorBidi" w:hAnsiTheme="majorBidi" w:cstheme="majorBidi"/>
          <w:bCs/>
        </w:rPr>
        <w:t>)</w:t>
      </w:r>
      <w:r w:rsidRPr="000D445C">
        <w:rPr>
          <w:rFonts w:asciiTheme="majorBidi" w:hAnsiTheme="majorBidi" w:cstheme="majorBidi"/>
          <w:bCs/>
        </w:rPr>
        <w:t xml:space="preserve"> email addresses when contacting their </w:t>
      </w:r>
      <w:r>
        <w:rPr>
          <w:rFonts w:asciiTheme="majorBidi" w:hAnsiTheme="majorBidi" w:cstheme="majorBidi"/>
          <w:bCs/>
        </w:rPr>
        <w:t>tutorial professor</w:t>
      </w:r>
      <w:r w:rsidRPr="000D445C">
        <w:rPr>
          <w:rFonts w:asciiTheme="majorBidi" w:hAnsiTheme="majorBidi" w:cstheme="majorBidi"/>
          <w:bCs/>
        </w:rPr>
        <w:t xml:space="preserve">s. </w:t>
      </w:r>
    </w:p>
    <w:p w14:paraId="16403FA1" w14:textId="724F59C9" w:rsidR="00FF2090" w:rsidRPr="000D445C" w:rsidRDefault="00FF2090" w:rsidP="00FF2090">
      <w:pPr>
        <w:pStyle w:val="ListParagraph"/>
        <w:numPr>
          <w:ilvl w:val="0"/>
          <w:numId w:val="7"/>
        </w:numPr>
        <w:rPr>
          <w:rFonts w:asciiTheme="majorBidi" w:hAnsiTheme="majorBidi" w:cstheme="majorBidi"/>
          <w:bCs/>
        </w:rPr>
      </w:pPr>
      <w:r w:rsidRPr="000D445C">
        <w:rPr>
          <w:rFonts w:asciiTheme="majorBidi" w:hAnsiTheme="majorBidi" w:cstheme="majorBidi"/>
          <w:bCs/>
        </w:rPr>
        <w:t xml:space="preserve">Any email sent to the instructor MUST say </w:t>
      </w:r>
      <w:r w:rsidRPr="00801FC9">
        <w:rPr>
          <w:rFonts w:asciiTheme="majorBidi" w:hAnsiTheme="majorBidi" w:cstheme="majorBidi"/>
          <w:b/>
        </w:rPr>
        <w:t>Math 1229</w:t>
      </w:r>
      <w:r>
        <w:rPr>
          <w:rFonts w:asciiTheme="majorBidi" w:hAnsiTheme="majorBidi" w:cstheme="majorBidi"/>
          <w:b/>
        </w:rPr>
        <w:t>A</w:t>
      </w:r>
      <w:r w:rsidRPr="000D445C">
        <w:rPr>
          <w:rFonts w:asciiTheme="majorBidi" w:hAnsiTheme="majorBidi" w:cstheme="majorBidi"/>
          <w:bCs/>
        </w:rPr>
        <w:t xml:space="preserve"> in the subject line; Any email without proper subject line, and/or sent from an email other than a Western email, may be deleted unread.</w:t>
      </w:r>
    </w:p>
    <w:p w14:paraId="39D5B012" w14:textId="77777777" w:rsidR="00FF2090" w:rsidRPr="000D445C" w:rsidRDefault="00FF2090" w:rsidP="00FF2090">
      <w:pPr>
        <w:pStyle w:val="ListParagraph"/>
        <w:numPr>
          <w:ilvl w:val="0"/>
          <w:numId w:val="7"/>
        </w:numPr>
        <w:rPr>
          <w:rFonts w:asciiTheme="majorBidi" w:hAnsiTheme="majorBidi" w:cstheme="majorBidi"/>
          <w:bCs/>
        </w:rPr>
      </w:pPr>
      <w:r w:rsidRPr="000D445C">
        <w:rPr>
          <w:rFonts w:asciiTheme="majorBidi" w:hAnsiTheme="majorBidi" w:cstheme="majorBidi"/>
          <w:bCs/>
        </w:rPr>
        <w:t xml:space="preserve">The primary point of contact for each student is their tutorial </w:t>
      </w:r>
      <w:r>
        <w:rPr>
          <w:rFonts w:asciiTheme="majorBidi" w:hAnsiTheme="majorBidi" w:cstheme="majorBidi"/>
          <w:bCs/>
        </w:rPr>
        <w:t>professor</w:t>
      </w:r>
      <w:r w:rsidRPr="000D445C">
        <w:rPr>
          <w:rFonts w:asciiTheme="majorBidi" w:hAnsiTheme="majorBidi" w:cstheme="majorBidi"/>
          <w:bCs/>
        </w:rPr>
        <w:t xml:space="preserve">. Unless instructed otherwise, please do not contact the course coordinator with </w:t>
      </w:r>
      <w:r>
        <w:rPr>
          <w:rFonts w:asciiTheme="majorBidi" w:hAnsiTheme="majorBidi" w:cstheme="majorBidi"/>
          <w:bCs/>
        </w:rPr>
        <w:t>course</w:t>
      </w:r>
      <w:r w:rsidRPr="000D445C">
        <w:rPr>
          <w:rFonts w:asciiTheme="majorBidi" w:hAnsiTheme="majorBidi" w:cstheme="majorBidi"/>
          <w:bCs/>
        </w:rPr>
        <w:t>-related questions.</w:t>
      </w:r>
    </w:p>
    <w:p w14:paraId="55D07F4D" w14:textId="77777777" w:rsidR="00FF2090" w:rsidRDefault="00FF2090" w:rsidP="00FF2090">
      <w:pPr>
        <w:pStyle w:val="ListParagraph"/>
        <w:numPr>
          <w:ilvl w:val="0"/>
          <w:numId w:val="7"/>
        </w:numPr>
        <w:rPr>
          <w:bCs/>
        </w:rPr>
      </w:pPr>
      <w:r w:rsidRPr="000D445C">
        <w:rPr>
          <w:rFonts w:asciiTheme="majorBidi" w:hAnsiTheme="majorBidi" w:cstheme="majorBidi"/>
          <w:bCs/>
        </w:rPr>
        <w:t>Email is not an efficient way of contact, and response times vary wildly depending on email volume (</w:t>
      </w:r>
      <w:r>
        <w:rPr>
          <w:rFonts w:asciiTheme="majorBidi" w:hAnsiTheme="majorBidi" w:cstheme="majorBidi"/>
          <w:bCs/>
        </w:rPr>
        <w:t>professor</w:t>
      </w:r>
      <w:r w:rsidRPr="000D445C">
        <w:rPr>
          <w:rFonts w:asciiTheme="majorBidi" w:hAnsiTheme="majorBidi" w:cstheme="majorBidi"/>
          <w:bCs/>
        </w:rPr>
        <w:t>s may be receiving tens of emails per day). Students can use office hours for meetings with more urgent matters</w:t>
      </w:r>
      <w:r w:rsidRPr="000D445C">
        <w:rPr>
          <w:bCs/>
        </w:rPr>
        <w:t>.</w:t>
      </w:r>
    </w:p>
    <w:p w14:paraId="2C2C2FE5" w14:textId="77777777" w:rsidR="00326122" w:rsidRPr="00A84D9F" w:rsidRDefault="00326122" w:rsidP="003F0C6D">
      <w:pPr>
        <w:rPr>
          <w:bCs/>
          <w:color w:val="385623" w:themeColor="accent6" w:themeShade="80"/>
        </w:rPr>
      </w:pPr>
    </w:p>
    <w:p w14:paraId="55628349" w14:textId="77777777" w:rsidR="009A48F3" w:rsidRPr="000D445C" w:rsidRDefault="009A48F3" w:rsidP="009A48F3">
      <w:pPr>
        <w:rPr>
          <w:b/>
        </w:rPr>
      </w:pPr>
      <w:r w:rsidRPr="000D445C">
        <w:rPr>
          <w:b/>
        </w:rPr>
        <w:t xml:space="preserve">Office Hours Information </w:t>
      </w:r>
    </w:p>
    <w:p w14:paraId="3F536568" w14:textId="77777777" w:rsidR="009A48F3" w:rsidRDefault="009A48F3" w:rsidP="009A48F3">
      <w:pPr>
        <w:rPr>
          <w:bCs/>
        </w:rPr>
      </w:pPr>
      <w:r w:rsidRPr="00AC21E3">
        <w:rPr>
          <w:bCs/>
        </w:rPr>
        <w:t xml:space="preserve">Each tutorial </w:t>
      </w:r>
      <w:r>
        <w:rPr>
          <w:bCs/>
        </w:rPr>
        <w:t>professor</w:t>
      </w:r>
      <w:r w:rsidRPr="00AC21E3">
        <w:rPr>
          <w:bCs/>
        </w:rPr>
        <w:t xml:space="preserve"> will hold at least two office hours weekly to provide help to the students of their tutorial. Information about day, time, location and format of the office hours will be provided on the course OWL website. </w:t>
      </w:r>
    </w:p>
    <w:p w14:paraId="7D66111B" w14:textId="77777777" w:rsidR="009A48F3" w:rsidRDefault="009A48F3" w:rsidP="009A48F3">
      <w:pPr>
        <w:rPr>
          <w:bCs/>
        </w:rPr>
      </w:pPr>
    </w:p>
    <w:p w14:paraId="4FAB4034" w14:textId="77777777" w:rsidR="009A48F3" w:rsidRPr="00C56224" w:rsidRDefault="009A48F3" w:rsidP="009A48F3">
      <w:pPr>
        <w:rPr>
          <w:b/>
        </w:rPr>
      </w:pPr>
      <w:r w:rsidRPr="00C56224">
        <w:rPr>
          <w:b/>
        </w:rPr>
        <w:t>Math-Physics Accelerator</w:t>
      </w:r>
    </w:p>
    <w:p w14:paraId="77CAED6B" w14:textId="6676BC2A" w:rsidR="009A48F3" w:rsidRPr="00C56224" w:rsidRDefault="009A48F3" w:rsidP="009A48F3">
      <w:pPr>
        <w:rPr>
          <w:bCs/>
        </w:rPr>
      </w:pPr>
      <w:r w:rsidRPr="00C56224">
        <w:rPr>
          <w:bCs/>
        </w:rPr>
        <w:t>The Mathematics Department runs free in-person and virtual help centres</w:t>
      </w:r>
      <w:r>
        <w:rPr>
          <w:bCs/>
        </w:rPr>
        <w:t xml:space="preserve"> every</w:t>
      </w:r>
      <w:r w:rsidRPr="00C56224">
        <w:rPr>
          <w:bCs/>
        </w:rPr>
        <w:t xml:space="preserve"> weekday during the semester, starting</w:t>
      </w:r>
      <w:r w:rsidR="0047201B">
        <w:rPr>
          <w:bCs/>
        </w:rPr>
        <w:t xml:space="preserve"> </w:t>
      </w:r>
      <w:r w:rsidR="0047201B" w:rsidRPr="009B40F4">
        <w:rPr>
          <w:bCs/>
        </w:rPr>
        <w:t>the third week of the term</w:t>
      </w:r>
      <w:r w:rsidRPr="009B40F4">
        <w:rPr>
          <w:bCs/>
        </w:rPr>
        <w:t>.  The in-person help</w:t>
      </w:r>
      <w:r w:rsidRPr="00C56224">
        <w:rPr>
          <w:bCs/>
        </w:rPr>
        <w:t xml:space="preserve"> centre is located in the Math-Physics Accelerator in PAB</w:t>
      </w:r>
      <w:r>
        <w:rPr>
          <w:bCs/>
        </w:rPr>
        <w:t xml:space="preserve"> </w:t>
      </w:r>
      <w:r w:rsidRPr="00C56224">
        <w:rPr>
          <w:bCs/>
        </w:rPr>
        <w:t>48/49/26 (on the lower level of the Physics and Astronomy Building.)</w:t>
      </w:r>
    </w:p>
    <w:p w14:paraId="3F031C9B" w14:textId="77777777" w:rsidR="009A48F3" w:rsidRPr="00C56224" w:rsidRDefault="009A48F3" w:rsidP="009A48F3">
      <w:pPr>
        <w:rPr>
          <w:bCs/>
        </w:rPr>
      </w:pPr>
      <w:r w:rsidRPr="00C56224">
        <w:rPr>
          <w:bCs/>
        </w:rPr>
        <w:t>These help centres are staffed by graduate student teaching assistants</w:t>
      </w:r>
      <w:r>
        <w:rPr>
          <w:bCs/>
        </w:rPr>
        <w:t xml:space="preserve"> </w:t>
      </w:r>
      <w:r w:rsidRPr="00C56224">
        <w:rPr>
          <w:bCs/>
        </w:rPr>
        <w:t>and all first-year mathematics courses are supported.  No appointments</w:t>
      </w:r>
      <w:r>
        <w:rPr>
          <w:bCs/>
        </w:rPr>
        <w:t xml:space="preserve"> </w:t>
      </w:r>
      <w:r w:rsidRPr="00C56224">
        <w:rPr>
          <w:bCs/>
        </w:rPr>
        <w:t>are necessary.</w:t>
      </w:r>
    </w:p>
    <w:p w14:paraId="756D2E29" w14:textId="77777777" w:rsidR="009A48F3" w:rsidRPr="00C56224" w:rsidRDefault="009A48F3" w:rsidP="009A48F3">
      <w:pPr>
        <w:rPr>
          <w:bCs/>
        </w:rPr>
      </w:pPr>
    </w:p>
    <w:p w14:paraId="7890E283" w14:textId="1C51804A" w:rsidR="009A48F3" w:rsidRPr="001B4451" w:rsidRDefault="009A48F3" w:rsidP="00EA39A6">
      <w:pPr>
        <w:pStyle w:val="ListParagraph"/>
        <w:numPr>
          <w:ilvl w:val="0"/>
          <w:numId w:val="14"/>
        </w:numPr>
        <w:rPr>
          <w:rFonts w:asciiTheme="majorBidi" w:hAnsiTheme="majorBidi" w:cstheme="majorBidi"/>
          <w:bCs/>
        </w:rPr>
      </w:pPr>
      <w:r w:rsidRPr="001B4451">
        <w:rPr>
          <w:rFonts w:asciiTheme="majorBidi" w:hAnsiTheme="majorBidi" w:cstheme="majorBidi"/>
          <w:bCs/>
        </w:rPr>
        <w:t>Information about the help center and other departmental support for students can be found at:</w:t>
      </w:r>
    </w:p>
    <w:p w14:paraId="0F4FF1C8" w14:textId="087ABA3D" w:rsidR="001B4451" w:rsidRPr="001B4451" w:rsidRDefault="001650EC" w:rsidP="00EA39A6">
      <w:pPr>
        <w:pStyle w:val="ListParagraph"/>
        <w:jc w:val="center"/>
        <w:rPr>
          <w:rFonts w:asciiTheme="majorBidi" w:hAnsiTheme="majorBidi" w:cstheme="majorBidi"/>
          <w:bCs/>
        </w:rPr>
      </w:pPr>
      <w:hyperlink r:id="rId9" w:history="1">
        <w:r w:rsidRPr="00E55EE5">
          <w:rPr>
            <w:rStyle w:val="Hyperlink"/>
          </w:rPr>
          <w:t>https://www.math.uwo.ca/undergraduate/current_students/Help%20Centre.html</w:t>
        </w:r>
      </w:hyperlink>
    </w:p>
    <w:p w14:paraId="0AB3BB96" w14:textId="75EC8FA7" w:rsidR="001D554E" w:rsidRPr="00EA39A6" w:rsidRDefault="009A48F3" w:rsidP="00EA39A6">
      <w:pPr>
        <w:pStyle w:val="ListParagraph"/>
        <w:numPr>
          <w:ilvl w:val="0"/>
          <w:numId w:val="14"/>
        </w:numPr>
        <w:rPr>
          <w:rFonts w:asciiTheme="majorBidi" w:hAnsiTheme="majorBidi" w:cstheme="majorBidi"/>
          <w:bCs/>
        </w:rPr>
      </w:pPr>
      <w:r w:rsidRPr="00EA39A6">
        <w:rPr>
          <w:rFonts w:asciiTheme="majorBidi" w:hAnsiTheme="majorBidi" w:cstheme="majorBidi"/>
          <w:bCs/>
        </w:rPr>
        <w:t>Information about other ways to get help will be posted on the course OWL website.</w:t>
      </w:r>
    </w:p>
    <w:p w14:paraId="1A82FC96" w14:textId="77777777" w:rsidR="006E2716" w:rsidRDefault="006E2716">
      <w:pPr>
        <w:rPr>
          <w:b/>
          <w:bCs/>
          <w:sz w:val="36"/>
          <w:szCs w:val="36"/>
        </w:rPr>
      </w:pPr>
      <w:r>
        <w:rPr>
          <w:b/>
          <w:bCs/>
          <w:sz w:val="36"/>
          <w:szCs w:val="36"/>
        </w:rPr>
        <w:br w:type="page"/>
      </w:r>
    </w:p>
    <w:p w14:paraId="02218B5F" w14:textId="559D9C53" w:rsidR="00B451DA" w:rsidRDefault="00B451DA" w:rsidP="00845B86">
      <w:pPr>
        <w:rPr>
          <w:b/>
          <w:bCs/>
        </w:rPr>
      </w:pPr>
      <w:r w:rsidRPr="008C038D">
        <w:rPr>
          <w:b/>
          <w:bCs/>
          <w:sz w:val="36"/>
          <w:szCs w:val="36"/>
        </w:rPr>
        <w:lastRenderedPageBreak/>
        <w:t xml:space="preserve">3. Course </w:t>
      </w:r>
      <w:r>
        <w:rPr>
          <w:b/>
          <w:bCs/>
          <w:sz w:val="36"/>
          <w:szCs w:val="36"/>
        </w:rPr>
        <w:t>Syllabus, Schedule, Delivery Mode</w:t>
      </w:r>
    </w:p>
    <w:p w14:paraId="3FD4679E" w14:textId="77777777" w:rsidR="00BE413A" w:rsidRDefault="00BE413A" w:rsidP="00845B86">
      <w:pPr>
        <w:rPr>
          <w:b/>
          <w:bCs/>
        </w:rPr>
      </w:pPr>
    </w:p>
    <w:p w14:paraId="5297FEC1" w14:textId="77777777" w:rsidR="00BE413A" w:rsidRPr="00B058B3" w:rsidRDefault="00BE413A" w:rsidP="00BE413A">
      <w:pPr>
        <w:rPr>
          <w:b/>
        </w:rPr>
      </w:pPr>
      <w:r w:rsidRPr="00B058B3">
        <w:rPr>
          <w:b/>
        </w:rPr>
        <w:t>Course Syllabus</w:t>
      </w:r>
    </w:p>
    <w:p w14:paraId="2C15013D" w14:textId="77777777" w:rsidR="00BE413A" w:rsidRDefault="00BE413A" w:rsidP="00BE413A">
      <w:pPr>
        <w:rPr>
          <w:bCs/>
        </w:rPr>
      </w:pPr>
      <w:r w:rsidRPr="00B058B3">
        <w:rPr>
          <w:bCs/>
        </w:rPr>
        <w:t>Vectors in</w:t>
      </w:r>
      <w:r>
        <w:rPr>
          <w:bCs/>
        </w:rPr>
        <w:t xml:space="preserve"> </w:t>
      </w:r>
      <m:oMath>
        <m:sSup>
          <m:sSupPr>
            <m:ctrlPr>
              <w:rPr>
                <w:rFonts w:ascii="Cambria Math" w:hAnsi="Cambria Math"/>
                <w:bCs/>
                <w:i/>
              </w:rPr>
            </m:ctrlPr>
          </m:sSupPr>
          <m:e>
            <m:r>
              <w:rPr>
                <w:rFonts w:ascii="Cambria Math" w:hAnsi="Cambria Math"/>
              </w:rPr>
              <m:t>R</m:t>
            </m:r>
          </m:e>
          <m:sup>
            <m:r>
              <w:rPr>
                <w:rFonts w:ascii="Cambria Math" w:hAnsi="Cambria Math"/>
              </w:rPr>
              <m:t>m</m:t>
            </m:r>
          </m:sup>
        </m:sSup>
      </m:oMath>
      <w:r w:rsidRPr="00B058B3">
        <w:rPr>
          <w:bCs/>
        </w:rPr>
        <w:t>; Equations of lines and planes; Linear Equations; Solution of Linear Systems; Matrix Algebra; Matrix Multiplication and Inverses; Determinants.</w:t>
      </w:r>
    </w:p>
    <w:p w14:paraId="55394847" w14:textId="77777777" w:rsidR="000D2539" w:rsidRDefault="000D2539" w:rsidP="00BE413A">
      <w:pPr>
        <w:rPr>
          <w:bCs/>
        </w:rPr>
      </w:pPr>
    </w:p>
    <w:p w14:paraId="20B9A50D" w14:textId="77777777" w:rsidR="000D2539" w:rsidRPr="00B058B3" w:rsidRDefault="000D2539" w:rsidP="000D2539">
      <w:pPr>
        <w:rPr>
          <w:b/>
        </w:rPr>
      </w:pPr>
      <w:r w:rsidRPr="00B058B3">
        <w:rPr>
          <w:b/>
        </w:rPr>
        <w:t>The Course Learning Outcomes</w:t>
      </w:r>
    </w:p>
    <w:p w14:paraId="0CFD9807" w14:textId="77777777" w:rsidR="000D2539" w:rsidRPr="00B058B3" w:rsidRDefault="000D2539" w:rsidP="000D2539">
      <w:pPr>
        <w:rPr>
          <w:bCs/>
        </w:rPr>
      </w:pPr>
      <w:r w:rsidRPr="00B058B3">
        <w:rPr>
          <w:bCs/>
        </w:rPr>
        <w:t>By the end of this course, students will be able to:</w:t>
      </w:r>
    </w:p>
    <w:p w14:paraId="77BDEFC6" w14:textId="77777777" w:rsidR="000D2539" w:rsidRPr="00B058B3" w:rsidRDefault="000D2539" w:rsidP="000D2539">
      <w:pPr>
        <w:pStyle w:val="ListParagraph"/>
        <w:numPr>
          <w:ilvl w:val="0"/>
          <w:numId w:val="8"/>
        </w:numPr>
        <w:rPr>
          <w:rFonts w:asciiTheme="majorBidi" w:hAnsiTheme="majorBidi" w:cstheme="majorBidi"/>
          <w:bCs/>
        </w:rPr>
      </w:pPr>
      <w:r w:rsidRPr="00C62B1B">
        <w:rPr>
          <w:rFonts w:asciiTheme="majorBidi" w:hAnsiTheme="majorBidi" w:cstheme="majorBidi"/>
          <w:b/>
        </w:rPr>
        <w:t>Describe</w:t>
      </w:r>
      <w:r w:rsidRPr="00B058B3">
        <w:rPr>
          <w:rFonts w:asciiTheme="majorBidi" w:hAnsiTheme="majorBidi" w:cstheme="majorBidi"/>
          <w:bCs/>
        </w:rPr>
        <w:t xml:space="preserve"> </w:t>
      </w:r>
      <m:oMath>
        <m:r>
          <w:rPr>
            <w:rFonts w:ascii="Cambria Math" w:hAnsi="Cambria Math" w:cstheme="majorBidi"/>
          </w:rPr>
          <m:t>m</m:t>
        </m:r>
      </m:oMath>
      <w:r w:rsidRPr="00B058B3">
        <w:rPr>
          <w:rFonts w:asciiTheme="majorBidi" w:hAnsiTheme="majorBidi" w:cstheme="majorBidi"/>
          <w:bCs/>
        </w:rPr>
        <w:t xml:space="preserve">-dimensional Euclidean space and carry out the vector operations for vectors in </w:t>
      </w:r>
      <m:oMath>
        <m:sSup>
          <m:sSupPr>
            <m:ctrlPr>
              <w:rPr>
                <w:rFonts w:ascii="Cambria Math" w:hAnsi="Cambria Math" w:cstheme="majorBidi"/>
                <w:bCs/>
                <w:i/>
              </w:rPr>
            </m:ctrlPr>
          </m:sSupPr>
          <m:e>
            <m:r>
              <w:rPr>
                <w:rFonts w:ascii="Cambria Math" w:hAnsi="Cambria Math" w:cstheme="majorBidi"/>
              </w:rPr>
              <m:t>R</m:t>
            </m:r>
          </m:e>
          <m:sup>
            <m:r>
              <w:rPr>
                <w:rFonts w:ascii="Cambria Math" w:hAnsi="Cambria Math" w:cstheme="majorBidi"/>
              </w:rPr>
              <m:t>m</m:t>
            </m:r>
          </m:sup>
        </m:sSup>
      </m:oMath>
      <w:r w:rsidRPr="00B058B3">
        <w:rPr>
          <w:rFonts w:asciiTheme="majorBidi" w:hAnsiTheme="majorBidi" w:cstheme="majorBidi"/>
          <w:bCs/>
        </w:rPr>
        <w:t>.</w:t>
      </w:r>
    </w:p>
    <w:p w14:paraId="4CA477B7" w14:textId="77777777" w:rsidR="000D2539" w:rsidRPr="00B058B3" w:rsidRDefault="000D2539" w:rsidP="000D2539">
      <w:pPr>
        <w:pStyle w:val="ListParagraph"/>
        <w:numPr>
          <w:ilvl w:val="0"/>
          <w:numId w:val="8"/>
        </w:numPr>
        <w:rPr>
          <w:rFonts w:asciiTheme="majorBidi" w:hAnsiTheme="majorBidi" w:cstheme="majorBidi"/>
          <w:bCs/>
        </w:rPr>
      </w:pPr>
      <w:r w:rsidRPr="00C62B1B">
        <w:rPr>
          <w:rFonts w:asciiTheme="majorBidi" w:hAnsiTheme="majorBidi" w:cstheme="majorBidi"/>
          <w:b/>
        </w:rPr>
        <w:t>Write</w:t>
      </w:r>
      <w:r w:rsidRPr="00B058B3">
        <w:rPr>
          <w:rFonts w:asciiTheme="majorBidi" w:hAnsiTheme="majorBidi" w:cstheme="majorBidi"/>
          <w:bCs/>
        </w:rPr>
        <w:t xml:space="preserve"> algebraic representations (as equation in different form) for different geometric objects such as lines, planes and hyper planes, in </w:t>
      </w:r>
      <m:oMath>
        <m:sSup>
          <m:sSupPr>
            <m:ctrlPr>
              <w:rPr>
                <w:rFonts w:ascii="Cambria Math" w:hAnsi="Cambria Math" w:cstheme="majorBidi"/>
                <w:bCs/>
                <w:i/>
              </w:rPr>
            </m:ctrlPr>
          </m:sSupPr>
          <m:e>
            <m:r>
              <w:rPr>
                <w:rFonts w:ascii="Cambria Math" w:hAnsi="Cambria Math" w:cstheme="majorBidi"/>
              </w:rPr>
              <m:t>R</m:t>
            </m:r>
          </m:e>
          <m:sup>
            <m:r>
              <w:rPr>
                <w:rFonts w:ascii="Cambria Math" w:hAnsi="Cambria Math" w:cstheme="majorBidi"/>
              </w:rPr>
              <m:t>m</m:t>
            </m:r>
          </m:sup>
        </m:sSup>
      </m:oMath>
      <w:r w:rsidRPr="00B058B3">
        <w:rPr>
          <w:rFonts w:asciiTheme="majorBidi" w:hAnsiTheme="majorBidi" w:cstheme="majorBidi"/>
          <w:bCs/>
        </w:rPr>
        <w:t>.</w:t>
      </w:r>
    </w:p>
    <w:p w14:paraId="5C9179D3" w14:textId="77777777" w:rsidR="000D2539" w:rsidRPr="00B058B3" w:rsidRDefault="000D2539" w:rsidP="000D2539">
      <w:pPr>
        <w:pStyle w:val="ListParagraph"/>
        <w:numPr>
          <w:ilvl w:val="0"/>
          <w:numId w:val="8"/>
        </w:numPr>
        <w:rPr>
          <w:rFonts w:asciiTheme="majorBidi" w:hAnsiTheme="majorBidi" w:cstheme="majorBidi"/>
          <w:bCs/>
        </w:rPr>
      </w:pPr>
      <w:r w:rsidRPr="00C62B1B">
        <w:rPr>
          <w:rFonts w:asciiTheme="majorBidi" w:hAnsiTheme="majorBidi" w:cstheme="majorBidi"/>
          <w:b/>
        </w:rPr>
        <w:t>Recognize</w:t>
      </w:r>
      <w:r w:rsidRPr="00B058B3">
        <w:rPr>
          <w:rFonts w:asciiTheme="majorBidi" w:hAnsiTheme="majorBidi" w:cstheme="majorBidi"/>
          <w:bCs/>
        </w:rPr>
        <w:t xml:space="preserve"> linear equations, systems of linear equations (SLE), and solutions of SLEs.</w:t>
      </w:r>
    </w:p>
    <w:p w14:paraId="53FB8565" w14:textId="77777777" w:rsidR="000D2539" w:rsidRPr="00B058B3" w:rsidRDefault="000D2539" w:rsidP="000D2539">
      <w:pPr>
        <w:pStyle w:val="ListParagraph"/>
        <w:numPr>
          <w:ilvl w:val="0"/>
          <w:numId w:val="8"/>
        </w:numPr>
        <w:rPr>
          <w:rFonts w:asciiTheme="majorBidi" w:hAnsiTheme="majorBidi" w:cstheme="majorBidi"/>
          <w:bCs/>
        </w:rPr>
      </w:pPr>
      <w:r w:rsidRPr="00C62B1B">
        <w:rPr>
          <w:rFonts w:asciiTheme="majorBidi" w:hAnsiTheme="majorBidi" w:cstheme="majorBidi"/>
          <w:b/>
        </w:rPr>
        <w:t>Solve</w:t>
      </w:r>
      <w:r w:rsidRPr="00B058B3">
        <w:rPr>
          <w:rFonts w:asciiTheme="majorBidi" w:hAnsiTheme="majorBidi" w:cstheme="majorBidi"/>
          <w:bCs/>
        </w:rPr>
        <w:t xml:space="preserve"> SLEs using different methods: Gauss-Jordan elimination method, method of inverse matrix and Cramer's rule, if applicable. </w:t>
      </w:r>
    </w:p>
    <w:p w14:paraId="73394330" w14:textId="77777777" w:rsidR="000D2539" w:rsidRPr="00B058B3" w:rsidRDefault="000D2539" w:rsidP="000D2539">
      <w:pPr>
        <w:pStyle w:val="ListParagraph"/>
        <w:numPr>
          <w:ilvl w:val="0"/>
          <w:numId w:val="8"/>
        </w:numPr>
        <w:rPr>
          <w:rFonts w:asciiTheme="majorBidi" w:hAnsiTheme="majorBidi" w:cstheme="majorBidi"/>
          <w:bCs/>
        </w:rPr>
      </w:pPr>
      <w:r w:rsidRPr="00C62B1B">
        <w:rPr>
          <w:rFonts w:asciiTheme="majorBidi" w:hAnsiTheme="majorBidi" w:cstheme="majorBidi"/>
          <w:b/>
        </w:rPr>
        <w:t>Perform</w:t>
      </w:r>
      <w:r w:rsidRPr="00B058B3">
        <w:rPr>
          <w:rFonts w:asciiTheme="majorBidi" w:hAnsiTheme="majorBidi" w:cstheme="majorBidi"/>
          <w:bCs/>
        </w:rPr>
        <w:t xml:space="preserve"> basic matrix operations: addition/subtraction, multiplication and powers, inverse, and transpose matrices.</w:t>
      </w:r>
    </w:p>
    <w:p w14:paraId="76D37DEC" w14:textId="77777777" w:rsidR="000D2539" w:rsidRDefault="000D2539" w:rsidP="000D2539">
      <w:pPr>
        <w:pStyle w:val="ListParagraph"/>
        <w:numPr>
          <w:ilvl w:val="0"/>
          <w:numId w:val="8"/>
        </w:numPr>
        <w:rPr>
          <w:rFonts w:asciiTheme="majorBidi" w:hAnsiTheme="majorBidi" w:cstheme="majorBidi"/>
          <w:bCs/>
        </w:rPr>
      </w:pPr>
      <w:r w:rsidRPr="00C62B1B">
        <w:rPr>
          <w:rFonts w:asciiTheme="majorBidi" w:hAnsiTheme="majorBidi" w:cstheme="majorBidi"/>
          <w:b/>
        </w:rPr>
        <w:t>State</w:t>
      </w:r>
      <w:r w:rsidRPr="00B058B3">
        <w:rPr>
          <w:rFonts w:asciiTheme="majorBidi" w:hAnsiTheme="majorBidi" w:cstheme="majorBidi"/>
          <w:bCs/>
        </w:rPr>
        <w:t xml:space="preserve"> what the rank of a matrix is, find it and use it to determine the number of solutions of an SLE.</w:t>
      </w:r>
    </w:p>
    <w:p w14:paraId="2A92BFBF" w14:textId="77777777" w:rsidR="000D2539" w:rsidRPr="00B57D81" w:rsidRDefault="000D2539" w:rsidP="000D2539">
      <w:pPr>
        <w:pStyle w:val="ListParagraph"/>
        <w:numPr>
          <w:ilvl w:val="0"/>
          <w:numId w:val="8"/>
        </w:numPr>
        <w:rPr>
          <w:rFonts w:asciiTheme="majorBidi" w:hAnsiTheme="majorBidi" w:cstheme="majorBidi"/>
          <w:bCs/>
        </w:rPr>
      </w:pPr>
      <w:r w:rsidRPr="00C62B1B">
        <w:rPr>
          <w:rFonts w:asciiTheme="majorBidi" w:hAnsiTheme="majorBidi" w:cstheme="majorBidi"/>
          <w:b/>
        </w:rPr>
        <w:t>Compute</w:t>
      </w:r>
      <w:r w:rsidRPr="00B57D81">
        <w:rPr>
          <w:rFonts w:asciiTheme="majorBidi" w:hAnsiTheme="majorBidi" w:cstheme="majorBidi"/>
          <w:bCs/>
        </w:rPr>
        <w:t xml:space="preserve"> the determinant of square matrices using different methods: expansion along rows/columns and using the properties of determinant. </w:t>
      </w:r>
    </w:p>
    <w:p w14:paraId="5AD2C359" w14:textId="77777777" w:rsidR="000D2539" w:rsidRDefault="000D2539" w:rsidP="000D2539">
      <w:pPr>
        <w:pStyle w:val="ListParagraph"/>
        <w:numPr>
          <w:ilvl w:val="0"/>
          <w:numId w:val="8"/>
        </w:numPr>
        <w:rPr>
          <w:rFonts w:asciiTheme="majorBidi" w:hAnsiTheme="majorBidi" w:cstheme="majorBidi"/>
          <w:bCs/>
        </w:rPr>
      </w:pPr>
      <w:r w:rsidRPr="00C62B1B">
        <w:rPr>
          <w:rFonts w:asciiTheme="majorBidi" w:hAnsiTheme="majorBidi" w:cstheme="majorBidi"/>
          <w:b/>
        </w:rPr>
        <w:t>Use</w:t>
      </w:r>
      <w:r w:rsidRPr="00B57D81">
        <w:rPr>
          <w:rFonts w:asciiTheme="majorBidi" w:hAnsiTheme="majorBidi" w:cstheme="majorBidi"/>
          <w:bCs/>
        </w:rPr>
        <w:t xml:space="preserve"> determinant of square matrices to find the inverse of invertible matrices.</w:t>
      </w:r>
    </w:p>
    <w:p w14:paraId="5E092ABE" w14:textId="77777777" w:rsidR="000D2539" w:rsidRPr="00B058B3" w:rsidRDefault="000D2539" w:rsidP="00BE413A">
      <w:pPr>
        <w:rPr>
          <w:bCs/>
        </w:rPr>
      </w:pPr>
    </w:p>
    <w:p w14:paraId="128980C0" w14:textId="77777777" w:rsidR="004B4DE8" w:rsidRPr="00366488" w:rsidRDefault="004B4DE8" w:rsidP="004B4DE8">
      <w:pPr>
        <w:rPr>
          <w:b/>
        </w:rPr>
      </w:pPr>
      <w:r w:rsidRPr="000E38CB">
        <w:rPr>
          <w:b/>
        </w:rPr>
        <w:t>Course Delivery</w:t>
      </w:r>
    </w:p>
    <w:p w14:paraId="401CFEB2" w14:textId="77777777" w:rsidR="004B4DE8" w:rsidRDefault="004B4DE8" w:rsidP="004B4DE8">
      <w:pPr>
        <w:rPr>
          <w:bCs/>
        </w:rPr>
      </w:pPr>
    </w:p>
    <w:p w14:paraId="3363CE4D" w14:textId="77777777" w:rsidR="004B4DE8" w:rsidRDefault="004B4DE8" w:rsidP="004B4DE8">
      <w:pPr>
        <w:rPr>
          <w:bCs/>
        </w:rPr>
      </w:pPr>
      <w:r w:rsidRPr="00DF4880">
        <w:rPr>
          <w:bCs/>
        </w:rPr>
        <w:t xml:space="preserve">This is a </w:t>
      </w:r>
      <w:r w:rsidRPr="00B058B3">
        <w:rPr>
          <w:bCs/>
        </w:rPr>
        <w:t>blended</w:t>
      </w:r>
      <w:r w:rsidRPr="00DF4880">
        <w:rPr>
          <w:bCs/>
        </w:rPr>
        <w:t xml:space="preserve"> course </w:t>
      </w:r>
      <w:r>
        <w:rPr>
          <w:bCs/>
        </w:rPr>
        <w:t>with online asynchronous and in-person components:</w:t>
      </w:r>
    </w:p>
    <w:p w14:paraId="16EE3F6F" w14:textId="77777777" w:rsidR="004B4DE8" w:rsidRDefault="004B4DE8" w:rsidP="004B4DE8">
      <w:pPr>
        <w:spacing w:before="100" w:beforeAutospacing="1"/>
        <w:ind w:left="709" w:hanging="425"/>
        <w:rPr>
          <w:bCs/>
        </w:rPr>
      </w:pPr>
      <w:r w:rsidRPr="000C0FE1">
        <w:rPr>
          <w:bCs/>
          <w:i/>
          <w:iCs/>
        </w:rPr>
        <w:t>Online asynchronous components</w:t>
      </w:r>
      <w:r>
        <w:rPr>
          <w:bCs/>
        </w:rPr>
        <w:t xml:space="preserve">: The course content will be posted weekly </w:t>
      </w:r>
      <w:r w:rsidRPr="00B058B3">
        <w:rPr>
          <w:bCs/>
        </w:rPr>
        <w:t>on the course OWL website</w:t>
      </w:r>
      <w:r>
        <w:rPr>
          <w:bCs/>
        </w:rPr>
        <w:t>, and students can complete them anytime during that week. The online quizzes will come only with a deadline and can be completed during their opening time.</w:t>
      </w:r>
    </w:p>
    <w:p w14:paraId="4D044889" w14:textId="77777777" w:rsidR="004B4DE8" w:rsidRPr="00DF4880" w:rsidRDefault="004B4DE8" w:rsidP="004B4DE8">
      <w:pPr>
        <w:spacing w:before="100" w:beforeAutospacing="1"/>
        <w:ind w:left="709" w:hanging="425"/>
        <w:rPr>
          <w:bCs/>
        </w:rPr>
      </w:pPr>
      <w:r>
        <w:rPr>
          <w:bCs/>
          <w:i/>
          <w:iCs/>
        </w:rPr>
        <w:t>In-person</w:t>
      </w:r>
      <w:r w:rsidRPr="000C0FE1">
        <w:rPr>
          <w:bCs/>
          <w:i/>
          <w:iCs/>
        </w:rPr>
        <w:t xml:space="preserve"> synchronous component</w:t>
      </w:r>
      <w:r>
        <w:rPr>
          <w:bCs/>
          <w:i/>
          <w:iCs/>
        </w:rPr>
        <w:t>s</w:t>
      </w:r>
      <w:r>
        <w:rPr>
          <w:bCs/>
        </w:rPr>
        <w:t xml:space="preserve">: Students must attend one hour long tutorial sessions that will be </w:t>
      </w:r>
      <w:r w:rsidRPr="00B058B3">
        <w:rPr>
          <w:bCs/>
        </w:rPr>
        <w:t xml:space="preserve">taught by </w:t>
      </w:r>
      <w:r>
        <w:rPr>
          <w:bCs/>
        </w:rPr>
        <w:t>their</w:t>
      </w:r>
      <w:r w:rsidRPr="00B058B3">
        <w:rPr>
          <w:bCs/>
        </w:rPr>
        <w:t xml:space="preserve"> tutorial </w:t>
      </w:r>
      <w:r>
        <w:rPr>
          <w:bCs/>
        </w:rPr>
        <w:t>professor</w:t>
      </w:r>
      <w:r w:rsidRPr="00B058B3">
        <w:rPr>
          <w:bCs/>
        </w:rPr>
        <w:t xml:space="preserve"> once a week</w:t>
      </w:r>
      <w:r>
        <w:rPr>
          <w:bCs/>
        </w:rPr>
        <w:t>. The midterm tests and t</w:t>
      </w:r>
      <w:r w:rsidRPr="00DF4880">
        <w:rPr>
          <w:bCs/>
        </w:rPr>
        <w:t>he final exam will take place in-person</w:t>
      </w:r>
      <w:r>
        <w:rPr>
          <w:bCs/>
        </w:rPr>
        <w:t xml:space="preserve">. </w:t>
      </w:r>
    </w:p>
    <w:p w14:paraId="385F86FD" w14:textId="77777777" w:rsidR="004B4DE8" w:rsidRPr="00B058B3" w:rsidRDefault="004B4DE8" w:rsidP="004B4DE8">
      <w:pPr>
        <w:rPr>
          <w:bCs/>
        </w:rPr>
      </w:pPr>
    </w:p>
    <w:p w14:paraId="43CA5BDF" w14:textId="77777777" w:rsidR="004B4DE8" w:rsidRPr="001B61B0" w:rsidRDefault="004B4DE8" w:rsidP="004B4DE8">
      <w:pPr>
        <w:rPr>
          <w:i/>
          <w:iCs/>
        </w:rPr>
      </w:pPr>
      <w:r w:rsidRPr="001B61B0">
        <w:rPr>
          <w:i/>
          <w:iCs/>
        </w:rPr>
        <w:t xml:space="preserve">Contingency plan </w:t>
      </w:r>
    </w:p>
    <w:p w14:paraId="45334A2F" w14:textId="77777777" w:rsidR="004B4DE8" w:rsidRPr="00B058B3" w:rsidRDefault="004B4DE8" w:rsidP="004B4DE8">
      <w:pPr>
        <w:ind w:left="270" w:right="6"/>
        <w:rPr>
          <w:bCs/>
        </w:rPr>
      </w:pPr>
      <w:r w:rsidRPr="004A0E85">
        <w:t xml:space="preserve">Although the intent is for this course to be delivered </w:t>
      </w:r>
      <w:r>
        <w:t>in person</w:t>
      </w:r>
      <w:r w:rsidRPr="004A0E85">
        <w:t xml:space="preserve">, should any university-declared emergency require some or all the course to be delivered online, either synchronously or asynchronously, the course will adapt accordingly.  The grading scheme will </w:t>
      </w:r>
      <w:r w:rsidRPr="0033431A">
        <w:rPr>
          <w:b/>
          <w:bCs/>
        </w:rPr>
        <w:t>not</w:t>
      </w:r>
      <w:r w:rsidRPr="004A0E85">
        <w:t xml:space="preserve"> change. Any assessments affected will be conducted online as determined by the course instructor.</w:t>
      </w:r>
    </w:p>
    <w:p w14:paraId="443A91E2" w14:textId="4FEA9AB0" w:rsidR="00C70D02" w:rsidRDefault="00C70D02" w:rsidP="00845B86">
      <w:pPr>
        <w:rPr>
          <w:bCs/>
          <w:color w:val="385623" w:themeColor="accent6" w:themeShade="80"/>
        </w:rPr>
      </w:pPr>
    </w:p>
    <w:p w14:paraId="5343812D" w14:textId="77777777" w:rsidR="00A91B6E" w:rsidRDefault="00A91B6E" w:rsidP="00A91B6E">
      <w:pPr>
        <w:rPr>
          <w:bCs/>
        </w:rPr>
      </w:pPr>
      <w:r w:rsidRPr="001B61B0">
        <w:rPr>
          <w:b/>
        </w:rPr>
        <w:t>Key Sessional Dates</w:t>
      </w:r>
      <w:r w:rsidRPr="000640F3">
        <w:rPr>
          <w:bCs/>
        </w:rPr>
        <w:t>:</w:t>
      </w:r>
    </w:p>
    <w:p w14:paraId="1F13BCED" w14:textId="77777777" w:rsidR="00A91B6E" w:rsidRPr="00A84D9F" w:rsidRDefault="00A91B6E" w:rsidP="00845B86">
      <w:pPr>
        <w:rPr>
          <w:bCs/>
          <w:color w:val="385623" w:themeColor="accent6" w:themeShade="80"/>
        </w:rPr>
      </w:pPr>
    </w:p>
    <w:p w14:paraId="5B97A031" w14:textId="1BE12D58" w:rsidR="00C70D02" w:rsidRPr="00B96E71" w:rsidRDefault="00C70D02" w:rsidP="002B7D47">
      <w:pPr>
        <w:tabs>
          <w:tab w:val="left" w:pos="6204"/>
        </w:tabs>
        <w:ind w:left="284"/>
        <w:rPr>
          <w:bCs/>
          <w:color w:val="000000" w:themeColor="text1"/>
        </w:rPr>
      </w:pPr>
      <w:r w:rsidRPr="006728EB">
        <w:rPr>
          <w:bCs/>
          <w:i/>
          <w:iCs/>
          <w:color w:val="000000" w:themeColor="text1"/>
        </w:rPr>
        <w:t>Classes begin</w:t>
      </w:r>
      <w:r w:rsidRPr="00B96E71">
        <w:rPr>
          <w:bCs/>
          <w:color w:val="000000" w:themeColor="text1"/>
        </w:rPr>
        <w:t xml:space="preserve">: September </w:t>
      </w:r>
      <w:r w:rsidR="002B7D47">
        <w:rPr>
          <w:bCs/>
          <w:color w:val="000000" w:themeColor="text1"/>
        </w:rPr>
        <w:t>4</w:t>
      </w:r>
      <w:r w:rsidR="00C62B7E">
        <w:rPr>
          <w:bCs/>
          <w:color w:val="000000" w:themeColor="text1"/>
        </w:rPr>
        <w:t>, 202</w:t>
      </w:r>
      <w:r w:rsidR="002B7D47">
        <w:rPr>
          <w:bCs/>
          <w:color w:val="000000" w:themeColor="text1"/>
        </w:rPr>
        <w:t>5</w:t>
      </w:r>
      <w:r w:rsidR="002B7D47">
        <w:rPr>
          <w:bCs/>
          <w:color w:val="000000" w:themeColor="text1"/>
        </w:rPr>
        <w:tab/>
      </w:r>
    </w:p>
    <w:p w14:paraId="6A6E2486" w14:textId="60EDBFBA" w:rsidR="00E541E0" w:rsidRDefault="00E925CE" w:rsidP="00B96E71">
      <w:pPr>
        <w:ind w:left="284"/>
        <w:rPr>
          <w:bCs/>
          <w:color w:val="000000" w:themeColor="text1"/>
        </w:rPr>
      </w:pPr>
      <w:r w:rsidRPr="006728EB">
        <w:rPr>
          <w:bCs/>
          <w:i/>
          <w:iCs/>
          <w:color w:val="000000" w:themeColor="text1"/>
        </w:rPr>
        <w:t xml:space="preserve">Fall </w:t>
      </w:r>
      <w:r w:rsidR="00C70D02" w:rsidRPr="006728EB">
        <w:rPr>
          <w:bCs/>
          <w:i/>
          <w:iCs/>
          <w:color w:val="000000" w:themeColor="text1"/>
        </w:rPr>
        <w:t>Reading Week</w:t>
      </w:r>
      <w:r w:rsidR="00C70D02" w:rsidRPr="00B96E71">
        <w:rPr>
          <w:bCs/>
          <w:color w:val="000000" w:themeColor="text1"/>
        </w:rPr>
        <w:t xml:space="preserve">: </w:t>
      </w:r>
      <w:r w:rsidR="002B7D47">
        <w:rPr>
          <w:bCs/>
          <w:color w:val="000000" w:themeColor="text1"/>
        </w:rPr>
        <w:t>November 3 – 9, 2025</w:t>
      </w:r>
    </w:p>
    <w:p w14:paraId="4F0EE24C" w14:textId="66178A01" w:rsidR="00C70D02" w:rsidRDefault="00C70D02" w:rsidP="00A91B6E">
      <w:pPr>
        <w:ind w:left="284"/>
        <w:rPr>
          <w:bCs/>
          <w:color w:val="000000" w:themeColor="text1"/>
        </w:rPr>
      </w:pPr>
      <w:r w:rsidRPr="006728EB">
        <w:rPr>
          <w:bCs/>
          <w:i/>
          <w:iCs/>
          <w:color w:val="000000" w:themeColor="text1"/>
        </w:rPr>
        <w:t>Classes end</w:t>
      </w:r>
      <w:r w:rsidRPr="00B96E71">
        <w:rPr>
          <w:bCs/>
          <w:color w:val="000000" w:themeColor="text1"/>
        </w:rPr>
        <w:t xml:space="preserve">: December </w:t>
      </w:r>
      <w:r w:rsidR="002B7D47">
        <w:rPr>
          <w:bCs/>
          <w:color w:val="000000" w:themeColor="text1"/>
        </w:rPr>
        <w:t>9</w:t>
      </w:r>
      <w:r w:rsidR="00C62B7E">
        <w:rPr>
          <w:bCs/>
          <w:color w:val="000000" w:themeColor="text1"/>
        </w:rPr>
        <w:t>, 202</w:t>
      </w:r>
      <w:r w:rsidR="002B7D47">
        <w:rPr>
          <w:bCs/>
          <w:color w:val="000000" w:themeColor="text1"/>
        </w:rPr>
        <w:t>5</w:t>
      </w:r>
    </w:p>
    <w:p w14:paraId="7546B1CA" w14:textId="6E3799E3" w:rsidR="00E925CE" w:rsidRPr="00B96E71" w:rsidRDefault="00E925CE" w:rsidP="00A91B6E">
      <w:pPr>
        <w:ind w:left="284"/>
        <w:rPr>
          <w:bCs/>
          <w:color w:val="000000" w:themeColor="text1"/>
        </w:rPr>
      </w:pPr>
      <w:r w:rsidRPr="006728EB">
        <w:rPr>
          <w:bCs/>
          <w:i/>
          <w:iCs/>
          <w:color w:val="000000" w:themeColor="text1"/>
        </w:rPr>
        <w:t>Exam period</w:t>
      </w:r>
      <w:r>
        <w:rPr>
          <w:bCs/>
          <w:color w:val="000000" w:themeColor="text1"/>
        </w:rPr>
        <w:t xml:space="preserve">: December </w:t>
      </w:r>
      <w:r w:rsidR="002B7D47">
        <w:rPr>
          <w:bCs/>
          <w:color w:val="000000" w:themeColor="text1"/>
        </w:rPr>
        <w:t>11</w:t>
      </w:r>
      <w:r>
        <w:rPr>
          <w:bCs/>
          <w:color w:val="000000" w:themeColor="text1"/>
        </w:rPr>
        <w:t xml:space="preserve"> – 22, 202</w:t>
      </w:r>
      <w:r w:rsidR="006728EB">
        <w:rPr>
          <w:bCs/>
          <w:color w:val="000000" w:themeColor="text1"/>
        </w:rPr>
        <w:t>5</w:t>
      </w:r>
    </w:p>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lastRenderedPageBreak/>
        <w:t>4. Course Materials</w:t>
      </w:r>
    </w:p>
    <w:p w14:paraId="2C3EB7CD" w14:textId="77777777" w:rsidR="00BF70FC" w:rsidRDefault="00CF2B11" w:rsidP="00BF70FC">
      <w:pPr>
        <w:rPr>
          <w:b/>
          <w:bCs/>
        </w:rPr>
      </w:pPr>
      <w:r w:rsidRPr="00CF2B11">
        <w:rPr>
          <w:bCs/>
        </w:rPr>
        <w:br/>
      </w:r>
      <w:r w:rsidR="00BF70FC" w:rsidRPr="004F6D47">
        <w:rPr>
          <w:b/>
          <w:bCs/>
        </w:rPr>
        <w:t>Textbook</w:t>
      </w:r>
    </w:p>
    <w:p w14:paraId="7D1DFB7A" w14:textId="77777777" w:rsidR="00BF70FC" w:rsidRDefault="00BF70FC" w:rsidP="00BF70FC">
      <w:pPr>
        <w:rPr>
          <w:b/>
          <w:bCs/>
        </w:rPr>
      </w:pPr>
    </w:p>
    <w:p w14:paraId="02456685" w14:textId="77777777" w:rsidR="00BF70FC" w:rsidRDefault="00BF70FC" w:rsidP="00BF70FC">
      <w:pPr>
        <w:ind w:left="630"/>
        <w:rPr>
          <w:bCs/>
        </w:rPr>
      </w:pPr>
      <w:r w:rsidRPr="00253815">
        <w:rPr>
          <w:bCs/>
          <w:i/>
          <w:iCs/>
        </w:rPr>
        <w:t>Second Custom Edition of Elementary Linear Algebra by S. Venit, W. Bishop and J. Brown, published by Cengage, ISBN13: 978-1-77474-365-2</w:t>
      </w:r>
      <w:r>
        <w:rPr>
          <w:bCs/>
          <w:i/>
          <w:iCs/>
        </w:rPr>
        <w:t xml:space="preserve">. </w:t>
      </w:r>
      <w:r w:rsidRPr="00E8414F">
        <w:rPr>
          <w:b/>
        </w:rPr>
        <w:t>The textbook costs $81.55.</w:t>
      </w:r>
    </w:p>
    <w:p w14:paraId="3B7A9EB6" w14:textId="77777777" w:rsidR="00BF70FC" w:rsidRPr="000209EF" w:rsidRDefault="00BF70FC" w:rsidP="00BF70FC">
      <w:pPr>
        <w:ind w:left="630"/>
        <w:rPr>
          <w:bCs/>
        </w:rPr>
      </w:pPr>
    </w:p>
    <w:p w14:paraId="6A276DE8" w14:textId="77777777" w:rsidR="00BF70FC" w:rsidRDefault="00BF70FC" w:rsidP="00BF70FC">
      <w:pPr>
        <w:rPr>
          <w:bCs/>
        </w:rPr>
      </w:pPr>
      <w:r w:rsidRPr="000209EF">
        <w:rPr>
          <w:bCs/>
        </w:rPr>
        <w:t xml:space="preserve">or the eBook version of the </w:t>
      </w:r>
      <w:r>
        <w:rPr>
          <w:bCs/>
        </w:rPr>
        <w:t>text</w:t>
      </w:r>
      <w:r w:rsidRPr="000209EF">
        <w:rPr>
          <w:bCs/>
        </w:rPr>
        <w:t>book</w:t>
      </w:r>
    </w:p>
    <w:p w14:paraId="05B03A32" w14:textId="77777777" w:rsidR="00BF70FC" w:rsidRPr="000209EF" w:rsidRDefault="00BF70FC" w:rsidP="00BF70FC">
      <w:pPr>
        <w:rPr>
          <w:bCs/>
        </w:rPr>
      </w:pPr>
    </w:p>
    <w:p w14:paraId="54B54CA1" w14:textId="77777777" w:rsidR="00BF70FC" w:rsidRDefault="00BF70FC" w:rsidP="00BF70FC">
      <w:pPr>
        <w:ind w:left="630"/>
        <w:rPr>
          <w:b/>
        </w:rPr>
      </w:pPr>
      <w:r w:rsidRPr="00253815">
        <w:rPr>
          <w:bCs/>
          <w:i/>
          <w:iCs/>
        </w:rPr>
        <w:t>University of Western Ontario* Custom eBook: Elementary Linear Algebra, 2nd Edition (365 Days/One Year Access)-- SKU: CEB___CODEID=46047</w:t>
      </w:r>
      <w:r w:rsidRPr="000209EF">
        <w:rPr>
          <w:bCs/>
        </w:rPr>
        <w:t xml:space="preserve">. </w:t>
      </w:r>
      <w:r w:rsidRPr="00995CE2">
        <w:rPr>
          <w:b/>
        </w:rPr>
        <w:t>365-day</w:t>
      </w:r>
      <w:r>
        <w:rPr>
          <w:b/>
        </w:rPr>
        <w:t>s of access</w:t>
      </w:r>
      <w:r w:rsidRPr="00995CE2">
        <w:rPr>
          <w:b/>
        </w:rPr>
        <w:t xml:space="preserve"> the eBook costs $75.00</w:t>
      </w:r>
      <w:r>
        <w:rPr>
          <w:b/>
        </w:rPr>
        <w:t>.</w:t>
      </w:r>
    </w:p>
    <w:p w14:paraId="4A49ACBB" w14:textId="77777777" w:rsidR="00BF70FC" w:rsidRDefault="00BF70FC" w:rsidP="00BF70FC">
      <w:pPr>
        <w:rPr>
          <w:b/>
        </w:rPr>
      </w:pPr>
    </w:p>
    <w:p w14:paraId="07745F86" w14:textId="77777777" w:rsidR="00BF70FC" w:rsidRPr="00995CE2" w:rsidRDefault="00BF70FC" w:rsidP="00BF70FC">
      <w:pPr>
        <w:rPr>
          <w:b/>
        </w:rPr>
      </w:pPr>
      <w:r w:rsidRPr="00CF5D6E">
        <w:rPr>
          <w:b/>
        </w:rPr>
        <w:t xml:space="preserve">Students are welcome to purchase second-hand </w:t>
      </w:r>
      <w:r>
        <w:rPr>
          <w:b/>
        </w:rPr>
        <w:t>of the same edition (2</w:t>
      </w:r>
      <w:r w:rsidRPr="00CF5D6E">
        <w:rPr>
          <w:b/>
          <w:vertAlign w:val="superscript"/>
        </w:rPr>
        <w:t>nd</w:t>
      </w:r>
      <w:r>
        <w:rPr>
          <w:b/>
        </w:rPr>
        <w:t xml:space="preserve"> edition)</w:t>
      </w:r>
      <w:r w:rsidRPr="00CF5D6E">
        <w:rPr>
          <w:b/>
        </w:rPr>
        <w:t xml:space="preserve"> of this textbook.</w:t>
      </w:r>
    </w:p>
    <w:p w14:paraId="16814623" w14:textId="77777777" w:rsidR="00BF70FC" w:rsidRPr="000209EF" w:rsidRDefault="00BF70FC" w:rsidP="00BF70FC">
      <w:pPr>
        <w:ind w:left="630"/>
        <w:rPr>
          <w:bCs/>
        </w:rPr>
      </w:pPr>
    </w:p>
    <w:p w14:paraId="786C77DD" w14:textId="44662F04" w:rsidR="00BF70FC" w:rsidRDefault="00BF70FC" w:rsidP="00BF70FC">
      <w:r w:rsidRPr="00D7332F">
        <w:rPr>
          <w:bCs/>
          <w:color w:val="000000" w:themeColor="text1"/>
        </w:rPr>
        <w:t>Both versions of the textbook are available</w:t>
      </w:r>
      <w:r>
        <w:rPr>
          <w:bCs/>
          <w:color w:val="000000" w:themeColor="text1"/>
        </w:rPr>
        <w:t xml:space="preserve"> in</w:t>
      </w:r>
      <w:r w:rsidRPr="00D7332F">
        <w:rPr>
          <w:bCs/>
          <w:color w:val="000000" w:themeColor="text1"/>
        </w:rPr>
        <w:t xml:space="preserve"> the Western Bookstore</w:t>
      </w:r>
      <w:r>
        <w:rPr>
          <w:bCs/>
          <w:color w:val="000000" w:themeColor="text1"/>
        </w:rPr>
        <w:t xml:space="preserve"> : </w:t>
      </w:r>
    </w:p>
    <w:p w14:paraId="2592EA8E" w14:textId="465544B2" w:rsidR="00751EB2" w:rsidRPr="00D7332F" w:rsidRDefault="00751EB2" w:rsidP="00BF70FC">
      <w:pPr>
        <w:rPr>
          <w:bCs/>
          <w:color w:val="000000" w:themeColor="text1"/>
        </w:rPr>
      </w:pPr>
      <w:hyperlink r:id="rId10" w:history="1">
        <w:r w:rsidRPr="00751EB2">
          <w:rPr>
            <w:rStyle w:val="Hyperlink"/>
            <w:bCs/>
          </w:rPr>
          <w:t>https://bookstore.uwo.ca/textbook-search?campus=UWO&amp;term=W2025A&amp;courses%5B0%5D=200_UW/MAT1229A</w:t>
        </w:r>
      </w:hyperlink>
    </w:p>
    <w:p w14:paraId="79B7AA7E" w14:textId="743F609A" w:rsidR="009F463E" w:rsidRPr="00A84D9F" w:rsidRDefault="009F463E" w:rsidP="00BF70FC">
      <w:pPr>
        <w:rPr>
          <w:bCs/>
          <w:color w:val="385623" w:themeColor="accent6" w:themeShade="80"/>
        </w:rPr>
      </w:pPr>
    </w:p>
    <w:p w14:paraId="43DA2C30" w14:textId="77777777" w:rsidR="004F6B6B" w:rsidRPr="007E7044" w:rsidRDefault="004F6B6B" w:rsidP="004F6B6B">
      <w:pPr>
        <w:rPr>
          <w:b/>
        </w:rPr>
      </w:pPr>
      <w:r w:rsidRPr="007E7044">
        <w:rPr>
          <w:b/>
        </w:rPr>
        <w:t>Learning Management System (OWL)</w:t>
      </w:r>
    </w:p>
    <w:p w14:paraId="386C9597" w14:textId="77777777" w:rsidR="00D56C10" w:rsidRDefault="00D56C10" w:rsidP="00C62B7E">
      <w:pPr>
        <w:rPr>
          <w:bCs/>
          <w:color w:val="FF0000"/>
        </w:rPr>
      </w:pPr>
    </w:p>
    <w:p w14:paraId="656AB3B4" w14:textId="77777777" w:rsidR="006B75C6" w:rsidRDefault="006B75C6" w:rsidP="006B75C6">
      <w:pPr>
        <w:rPr>
          <w:bCs/>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r w:rsidRPr="00E563ED">
        <w:rPr>
          <w:bCs/>
          <w:color w:val="000000" w:themeColor="text1"/>
        </w:rPr>
        <w:t>.</w:t>
      </w:r>
      <w:r w:rsidRPr="008C038D">
        <w:rPr>
          <w:bCs/>
          <w:color w:val="000000" w:themeColor="text1"/>
        </w:rPr>
        <w:t xml:space="preserve"> </w:t>
      </w:r>
      <w:r>
        <w:rPr>
          <w:bCs/>
        </w:rPr>
        <w:t xml:space="preserve">The course OWL website contains weekly videos teaching the course material. </w:t>
      </w:r>
      <w:r w:rsidRPr="007E7044">
        <w:rPr>
          <w:bCs/>
        </w:rPr>
        <w:t xml:space="preserve">Various useful supplemental materials, such as lecture notes and </w:t>
      </w:r>
      <w:r>
        <w:rPr>
          <w:bCs/>
        </w:rPr>
        <w:t xml:space="preserve">other </w:t>
      </w:r>
      <w:r w:rsidRPr="007E7044">
        <w:rPr>
          <w:bCs/>
        </w:rPr>
        <w:t xml:space="preserve">videos </w:t>
      </w:r>
      <w:r>
        <w:rPr>
          <w:bCs/>
        </w:rPr>
        <w:t>series</w:t>
      </w:r>
      <w:r w:rsidRPr="007E7044">
        <w:rPr>
          <w:bCs/>
        </w:rPr>
        <w:t xml:space="preserve">, required extra homework problems, practice tests, and solutions to the homework exercises, are posted on the OWL web site </w:t>
      </w:r>
      <w:r w:rsidRPr="00845B86">
        <w:rPr>
          <w:bCs/>
          <w:color w:val="000000" w:themeColor="text1"/>
        </w:rPr>
        <w:t>(</w:t>
      </w:r>
      <w:hyperlink r:id="rId11" w:history="1">
        <w:r w:rsidRPr="00497E6F">
          <w:rPr>
            <w:rStyle w:val="Hyperlink"/>
            <w:bCs/>
          </w:rPr>
          <w:t>https://westernu.brightspace.com/</w:t>
        </w:r>
      </w:hyperlink>
      <w:r w:rsidRPr="00845B86">
        <w:rPr>
          <w:bCs/>
          <w:color w:val="000000" w:themeColor="text1"/>
        </w:rPr>
        <w:t>)</w:t>
      </w:r>
      <w:r>
        <w:rPr>
          <w:bCs/>
          <w:color w:val="000000" w:themeColor="text1"/>
        </w:rPr>
        <w:t xml:space="preserve">. </w:t>
      </w:r>
      <w:r w:rsidRPr="007E7044">
        <w:rPr>
          <w:bCs/>
        </w:rPr>
        <w:t xml:space="preserve">As well, there are forums on which students may post questions.  </w:t>
      </w:r>
    </w:p>
    <w:p w14:paraId="557ADC85" w14:textId="77777777" w:rsidR="006B75C6" w:rsidRDefault="006B75C6"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575F6021" w14:textId="36879CA4" w:rsidR="008C038D" w:rsidRPr="00867AFD" w:rsidRDefault="008C038D" w:rsidP="00845B86">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12"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19A695E0" w14:textId="77777777" w:rsidR="007904F5" w:rsidRDefault="007904F5" w:rsidP="009F463E">
      <w:pPr>
        <w:rPr>
          <w:bCs/>
        </w:rPr>
      </w:pPr>
    </w:p>
    <w:p w14:paraId="67C22826" w14:textId="77777777" w:rsidR="00682D2F" w:rsidRPr="00D37DB0" w:rsidRDefault="00682D2F" w:rsidP="00682D2F">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1E8B2913" w14:textId="77777777" w:rsidR="00682D2F" w:rsidRPr="007E7044" w:rsidRDefault="00682D2F" w:rsidP="00682D2F">
      <w:pPr>
        <w:rPr>
          <w:bCs/>
        </w:rPr>
      </w:pPr>
      <w:r>
        <w:rPr>
          <w:bCs/>
        </w:rPr>
        <w:t>I</w:t>
      </w:r>
      <w:r w:rsidRPr="007E7044">
        <w:rPr>
          <w:bCs/>
        </w:rPr>
        <w:t>n addition to the usual math hardware: pencil, paper, and (if you are human) an eraser</w:t>
      </w:r>
      <w:r>
        <w:rPr>
          <w:bCs/>
        </w:rPr>
        <w:t>, you need to have access to</w:t>
      </w:r>
    </w:p>
    <w:p w14:paraId="5BB38DA0" w14:textId="77777777" w:rsidR="00682D2F" w:rsidRPr="009E4F5A" w:rsidRDefault="00682D2F" w:rsidP="00682D2F">
      <w:pPr>
        <w:pStyle w:val="ListParagraph"/>
        <w:numPr>
          <w:ilvl w:val="0"/>
          <w:numId w:val="15"/>
        </w:numPr>
        <w:rPr>
          <w:rFonts w:asciiTheme="majorBidi" w:hAnsiTheme="majorBidi" w:cstheme="majorBidi"/>
          <w:bCs/>
        </w:rPr>
      </w:pPr>
      <w:r w:rsidRPr="009E4F5A">
        <w:rPr>
          <w:rFonts w:asciiTheme="majorBidi" w:hAnsiTheme="majorBidi" w:cstheme="majorBidi"/>
          <w:bCs/>
        </w:rPr>
        <w:t>Computer or laptop able to run a recent version of web browser such as Chrome, Safari or Firefox.</w:t>
      </w:r>
    </w:p>
    <w:p w14:paraId="124D1728" w14:textId="77777777" w:rsidR="00682D2F" w:rsidRPr="009E4F5A" w:rsidRDefault="00682D2F" w:rsidP="00682D2F">
      <w:pPr>
        <w:pStyle w:val="ListParagraph"/>
        <w:numPr>
          <w:ilvl w:val="0"/>
          <w:numId w:val="15"/>
        </w:numPr>
        <w:rPr>
          <w:rFonts w:asciiTheme="majorBidi" w:hAnsiTheme="majorBidi" w:cstheme="majorBidi"/>
          <w:bCs/>
        </w:rPr>
      </w:pPr>
      <w:r w:rsidRPr="009E4F5A">
        <w:rPr>
          <w:rFonts w:asciiTheme="majorBidi" w:hAnsiTheme="majorBidi" w:cstheme="majorBidi"/>
          <w:bCs/>
        </w:rPr>
        <w:t>Stable high-speed internet connection.</w:t>
      </w:r>
    </w:p>
    <w:p w14:paraId="327E1FD1" w14:textId="77777777" w:rsidR="00682D2F" w:rsidRPr="009E4F5A" w:rsidRDefault="00682D2F" w:rsidP="00682D2F">
      <w:pPr>
        <w:pStyle w:val="ListParagraph"/>
        <w:numPr>
          <w:ilvl w:val="0"/>
          <w:numId w:val="15"/>
        </w:numPr>
        <w:rPr>
          <w:rFonts w:asciiTheme="majorBidi" w:hAnsiTheme="majorBidi" w:cstheme="majorBidi"/>
          <w:bCs/>
        </w:rPr>
      </w:pPr>
      <w:r w:rsidRPr="009E4F5A">
        <w:rPr>
          <w:rFonts w:asciiTheme="majorBidi" w:hAnsiTheme="majorBidi" w:cstheme="majorBidi"/>
          <w:bCs/>
        </w:rPr>
        <w:t>Working microphone and webcam. (in case of pivoting to online learning)</w:t>
      </w:r>
    </w:p>
    <w:p w14:paraId="67EF1000" w14:textId="742E408B" w:rsidR="00682D2F" w:rsidRPr="00B64F1F" w:rsidRDefault="00682D2F">
      <w:pPr>
        <w:pStyle w:val="ListParagraph"/>
        <w:numPr>
          <w:ilvl w:val="0"/>
          <w:numId w:val="15"/>
        </w:numPr>
        <w:rPr>
          <w:bCs/>
        </w:rPr>
      </w:pPr>
      <w:r w:rsidRPr="00B64F1F">
        <w:rPr>
          <w:rFonts w:asciiTheme="majorBidi" w:hAnsiTheme="majorBidi" w:cstheme="majorBidi"/>
          <w:bCs/>
        </w:rPr>
        <w:t>Document Scanner device or App. (in case of pivoting to online learning)</w:t>
      </w:r>
    </w:p>
    <w:p w14:paraId="36CADD33" w14:textId="77777777" w:rsidR="00B64F1F" w:rsidRDefault="00B64F1F" w:rsidP="00681697">
      <w:pPr>
        <w:rPr>
          <w:b/>
          <w:bCs/>
          <w:sz w:val="36"/>
          <w:szCs w:val="36"/>
        </w:rPr>
      </w:pPr>
    </w:p>
    <w:p w14:paraId="6AFB7DCF" w14:textId="77777777" w:rsidR="005029EE" w:rsidRDefault="005029EE">
      <w:pPr>
        <w:rPr>
          <w:b/>
          <w:bCs/>
          <w:sz w:val="36"/>
          <w:szCs w:val="36"/>
        </w:rPr>
      </w:pPr>
    </w:p>
    <w:p w14:paraId="6D463D3D" w14:textId="77777777" w:rsidR="005029EE" w:rsidRDefault="005029EE">
      <w:pPr>
        <w:rPr>
          <w:b/>
          <w:bCs/>
          <w:sz w:val="36"/>
          <w:szCs w:val="36"/>
        </w:rPr>
      </w:pPr>
    </w:p>
    <w:p w14:paraId="3AA84100" w14:textId="77777777" w:rsidR="005029EE" w:rsidRPr="004D038F" w:rsidRDefault="005029EE" w:rsidP="005029EE">
      <w:pPr>
        <w:rPr>
          <w:b/>
        </w:rPr>
      </w:pPr>
      <w:r w:rsidRPr="004D038F">
        <w:rPr>
          <w:b/>
        </w:rPr>
        <w:t>What is expected of the students?</w:t>
      </w:r>
    </w:p>
    <w:p w14:paraId="63D26FF2" w14:textId="77777777" w:rsidR="005029EE" w:rsidRPr="004D038F" w:rsidRDefault="005029EE" w:rsidP="005029EE">
      <w:pPr>
        <w:pStyle w:val="ListParagraph"/>
        <w:numPr>
          <w:ilvl w:val="0"/>
          <w:numId w:val="16"/>
        </w:numPr>
        <w:rPr>
          <w:rFonts w:asciiTheme="majorBidi" w:hAnsiTheme="majorBidi" w:cstheme="majorBidi"/>
          <w:bCs/>
        </w:rPr>
      </w:pPr>
      <w:r w:rsidRPr="004D038F">
        <w:rPr>
          <w:rFonts w:asciiTheme="majorBidi" w:hAnsiTheme="majorBidi" w:cstheme="majorBidi"/>
          <w:bCs/>
        </w:rPr>
        <w:lastRenderedPageBreak/>
        <w:t xml:space="preserve">As a blended course, students learn the course content through online materials on the course OWL website, which will be provided weekly. Following that, students should attend tutorials in which their tutorial </w:t>
      </w:r>
      <w:r>
        <w:rPr>
          <w:rFonts w:asciiTheme="majorBidi" w:hAnsiTheme="majorBidi" w:cstheme="majorBidi"/>
          <w:bCs/>
        </w:rPr>
        <w:t>professor</w:t>
      </w:r>
      <w:r w:rsidRPr="004D038F">
        <w:rPr>
          <w:rFonts w:asciiTheme="majorBidi" w:hAnsiTheme="majorBidi" w:cstheme="majorBidi"/>
          <w:bCs/>
        </w:rPr>
        <w:t xml:space="preserve"> will review the material covered online in the previous week.</w:t>
      </w:r>
    </w:p>
    <w:p w14:paraId="1B1D73AE" w14:textId="77777777" w:rsidR="005029EE" w:rsidRPr="004D038F" w:rsidRDefault="005029EE" w:rsidP="005029EE">
      <w:pPr>
        <w:pStyle w:val="ListParagraph"/>
        <w:numPr>
          <w:ilvl w:val="0"/>
          <w:numId w:val="16"/>
        </w:numPr>
        <w:rPr>
          <w:rFonts w:asciiTheme="majorBidi" w:hAnsiTheme="majorBidi" w:cstheme="majorBidi"/>
          <w:bCs/>
        </w:rPr>
      </w:pPr>
      <w:r w:rsidRPr="004D038F">
        <w:rPr>
          <w:rFonts w:asciiTheme="majorBidi" w:hAnsiTheme="majorBidi" w:cstheme="majorBidi"/>
          <w:bCs/>
        </w:rPr>
        <w:t xml:space="preserve">Students should make a serious effort to learn all course material by reviewing their course notes and the corresponding parts of the textbook after each class. </w:t>
      </w:r>
    </w:p>
    <w:p w14:paraId="53EB88BE" w14:textId="77777777" w:rsidR="005029EE" w:rsidRPr="004D038F" w:rsidRDefault="005029EE" w:rsidP="005029EE">
      <w:pPr>
        <w:pStyle w:val="ListParagraph"/>
        <w:numPr>
          <w:ilvl w:val="0"/>
          <w:numId w:val="16"/>
        </w:numPr>
        <w:rPr>
          <w:rFonts w:asciiTheme="majorBidi" w:hAnsiTheme="majorBidi" w:cstheme="majorBidi"/>
          <w:bCs/>
        </w:rPr>
      </w:pPr>
      <w:r w:rsidRPr="004D038F">
        <w:rPr>
          <w:rFonts w:asciiTheme="majorBidi" w:hAnsiTheme="majorBidi" w:cstheme="majorBidi"/>
          <w:bCs/>
        </w:rPr>
        <w:t xml:space="preserve">Regular homework is an essential part of the course; it is the student's responsibility to keep up with the assigned practice problems and to seek additional help if and when it is needed. </w:t>
      </w:r>
    </w:p>
    <w:p w14:paraId="0DE9B326" w14:textId="77777777" w:rsidR="005029EE" w:rsidRPr="004D038F" w:rsidRDefault="005029EE" w:rsidP="005029EE">
      <w:pPr>
        <w:pStyle w:val="ListParagraph"/>
        <w:numPr>
          <w:ilvl w:val="0"/>
          <w:numId w:val="16"/>
        </w:numPr>
        <w:rPr>
          <w:rFonts w:asciiTheme="majorBidi" w:hAnsiTheme="majorBidi" w:cstheme="majorBidi"/>
          <w:bCs/>
        </w:rPr>
      </w:pPr>
      <w:r w:rsidRPr="004D038F">
        <w:rPr>
          <w:rFonts w:asciiTheme="majorBidi" w:hAnsiTheme="majorBidi" w:cstheme="majorBidi"/>
          <w:bCs/>
        </w:rPr>
        <w:t xml:space="preserve">The student must assume responsibility for staying up to date with course content and for being aware of posted deadlines such as dates for midterm tests and deadlines for online quizzes. </w:t>
      </w:r>
    </w:p>
    <w:p w14:paraId="598A6F47" w14:textId="77777777" w:rsidR="005029EE" w:rsidRPr="004D038F" w:rsidRDefault="005029EE" w:rsidP="005029EE">
      <w:pPr>
        <w:pStyle w:val="ListParagraph"/>
        <w:numPr>
          <w:ilvl w:val="0"/>
          <w:numId w:val="16"/>
        </w:numPr>
        <w:rPr>
          <w:rFonts w:asciiTheme="majorBidi" w:hAnsiTheme="majorBidi" w:cstheme="majorBidi"/>
          <w:bCs/>
        </w:rPr>
      </w:pPr>
      <w:r w:rsidRPr="004D038F">
        <w:rPr>
          <w:rFonts w:asciiTheme="majorBidi" w:hAnsiTheme="majorBidi" w:cstheme="majorBidi"/>
          <w:bCs/>
        </w:rPr>
        <w:t xml:space="preserve">The student is responsible for being aware of all relevant information posted on the OWL web site. </w:t>
      </w:r>
    </w:p>
    <w:p w14:paraId="2EDBD2A8" w14:textId="77777777" w:rsidR="005029EE" w:rsidRPr="007E7044" w:rsidRDefault="005029EE" w:rsidP="005029EE">
      <w:pPr>
        <w:rPr>
          <w:bCs/>
        </w:rPr>
      </w:pPr>
    </w:p>
    <w:p w14:paraId="422D4508" w14:textId="77777777" w:rsidR="005029EE" w:rsidRPr="00B06B94" w:rsidRDefault="005029EE" w:rsidP="005029EE">
      <w:pPr>
        <w:rPr>
          <w:b/>
        </w:rPr>
      </w:pPr>
      <w:r w:rsidRPr="00B06B94">
        <w:rPr>
          <w:b/>
        </w:rPr>
        <w:t>Further Course Policies</w:t>
      </w:r>
    </w:p>
    <w:p w14:paraId="5DBE211E" w14:textId="77777777" w:rsidR="005029EE" w:rsidRPr="007E7044" w:rsidRDefault="005029EE" w:rsidP="005029EE">
      <w:pPr>
        <w:rPr>
          <w:bCs/>
        </w:rPr>
      </w:pPr>
    </w:p>
    <w:p w14:paraId="6209543D" w14:textId="77777777" w:rsidR="005029EE" w:rsidRPr="002F45CA" w:rsidRDefault="005029EE" w:rsidP="005029EE">
      <w:pPr>
        <w:pStyle w:val="ListParagraph"/>
        <w:numPr>
          <w:ilvl w:val="0"/>
          <w:numId w:val="17"/>
        </w:numPr>
        <w:rPr>
          <w:rFonts w:asciiTheme="majorBidi" w:hAnsiTheme="majorBidi" w:cstheme="majorBidi"/>
          <w:bCs/>
        </w:rPr>
      </w:pPr>
      <w:r w:rsidRPr="002F45CA">
        <w:rPr>
          <w:rFonts w:asciiTheme="majorBidi" w:hAnsiTheme="majorBidi" w:cstheme="majorBidi"/>
          <w:bCs/>
        </w:rPr>
        <w:t xml:space="preserve">All students are expected to engage online and in-person in a professional and respectful manner. This includes all interactions with peers, as well as communication between TAs or your Professor. Failure to do so will result in academic discipline. </w:t>
      </w:r>
    </w:p>
    <w:p w14:paraId="1AF187EC" w14:textId="77777777" w:rsidR="005029EE" w:rsidRPr="00CA504A" w:rsidRDefault="005029EE" w:rsidP="005029EE">
      <w:pPr>
        <w:pStyle w:val="ListParagraph"/>
        <w:numPr>
          <w:ilvl w:val="0"/>
          <w:numId w:val="17"/>
        </w:numPr>
        <w:rPr>
          <w:color w:val="000000" w:themeColor="text1"/>
        </w:rPr>
      </w:pPr>
      <w:r w:rsidRPr="00CA504A">
        <w:rPr>
          <w:rFonts w:asciiTheme="majorBidi" w:hAnsiTheme="majorBidi" w:cstheme="majorBidi"/>
          <w:bCs/>
        </w:rPr>
        <w:t xml:space="preserve">Recording lectures or tutorials without the explicit consent of the Professor or TA is grounds for academic discipline. </w:t>
      </w:r>
    </w:p>
    <w:p w14:paraId="3EF82175" w14:textId="77777777" w:rsidR="005029EE" w:rsidRPr="00CA504A" w:rsidRDefault="005029EE" w:rsidP="005029EE">
      <w:pPr>
        <w:pStyle w:val="ListParagraph"/>
        <w:numPr>
          <w:ilvl w:val="0"/>
          <w:numId w:val="17"/>
        </w:numPr>
        <w:rPr>
          <w:color w:val="000000" w:themeColor="text1"/>
        </w:rPr>
      </w:pPr>
      <w:r w:rsidRPr="00CA504A">
        <w:rPr>
          <w:rFonts w:asciiTheme="majorBidi" w:hAnsiTheme="majorBidi" w:cstheme="majorBidi"/>
          <w:bCs/>
          <w:color w:val="000000" w:themeColor="text1"/>
        </w:rPr>
        <w:t>Course content created by a faculty member is considered the faculty member’s intellectual property; it should not be distributed, shared in any public domain, or sold by a student or other third party without prior written consent of the faculty member.</w:t>
      </w:r>
      <w:r>
        <w:rPr>
          <w:rFonts w:asciiTheme="majorBidi" w:hAnsiTheme="majorBidi" w:cstheme="majorBidi"/>
          <w:bCs/>
          <w:color w:val="000000" w:themeColor="text1"/>
        </w:rPr>
        <w:t xml:space="preserve"> </w:t>
      </w:r>
    </w:p>
    <w:p w14:paraId="160C07F0" w14:textId="4D16584C" w:rsidR="00B64F1F" w:rsidRDefault="00B64F1F">
      <w:pPr>
        <w:rPr>
          <w:b/>
          <w:bCs/>
          <w:sz w:val="36"/>
          <w:szCs w:val="36"/>
        </w:rPr>
      </w:pPr>
      <w:r>
        <w:rPr>
          <w:b/>
          <w:bCs/>
          <w:sz w:val="36"/>
          <w:szCs w:val="36"/>
        </w:rPr>
        <w:br w:type="page"/>
      </w:r>
    </w:p>
    <w:p w14:paraId="0A444BCC" w14:textId="615F3276" w:rsidR="00B451DA" w:rsidRDefault="00B451DA" w:rsidP="00681697">
      <w:pPr>
        <w:rPr>
          <w:bCs/>
          <w:color w:val="0432FF"/>
        </w:rPr>
      </w:pPr>
      <w:r w:rsidRPr="007169B1">
        <w:rPr>
          <w:b/>
          <w:bCs/>
          <w:sz w:val="36"/>
          <w:szCs w:val="36"/>
        </w:rPr>
        <w:lastRenderedPageBreak/>
        <w:t>5. Methods of Evaluation</w:t>
      </w:r>
    </w:p>
    <w:p w14:paraId="571CD465" w14:textId="77777777" w:rsidR="00B451DA" w:rsidRDefault="00B451DA" w:rsidP="00681697">
      <w:pPr>
        <w:rPr>
          <w:bCs/>
          <w:color w:val="0432FF"/>
        </w:rPr>
      </w:pPr>
    </w:p>
    <w:p w14:paraId="40044052" w14:textId="77777777" w:rsidR="008F7D9D" w:rsidRPr="00232272" w:rsidRDefault="008F7D9D" w:rsidP="008F7D9D">
      <w:pPr>
        <w:rPr>
          <w:bCs/>
          <w:color w:val="000000" w:themeColor="text1"/>
        </w:rPr>
      </w:pPr>
      <w:r w:rsidRPr="00232272">
        <w:rPr>
          <w:b/>
          <w:bCs/>
          <w:color w:val="000000" w:themeColor="text1"/>
        </w:rPr>
        <w:t>Grading Scheme and Assessment Dates</w:t>
      </w:r>
    </w:p>
    <w:p w14:paraId="574AEF6C" w14:textId="20EAB24A" w:rsidR="008F7D9D" w:rsidRPr="00BB2074" w:rsidRDefault="008F7D9D" w:rsidP="008F7D9D">
      <w:pPr>
        <w:rPr>
          <w:rFonts w:asciiTheme="majorBidi" w:hAnsiTheme="majorBidi" w:cstheme="majorBidi"/>
          <w:bCs/>
        </w:rPr>
      </w:pPr>
      <w:r w:rsidRPr="00BB2074">
        <w:rPr>
          <w:rFonts w:asciiTheme="majorBidi" w:hAnsiTheme="majorBidi" w:cstheme="majorBidi"/>
          <w:bCs/>
        </w:rPr>
        <w:t>The course grade will be determined by student performance on the following course components:</w:t>
      </w:r>
    </w:p>
    <w:p w14:paraId="70CFF399" w14:textId="77777777" w:rsidR="008F7D9D" w:rsidRPr="00BB2074" w:rsidRDefault="008F7D9D" w:rsidP="008F7D9D">
      <w:pPr>
        <w:rPr>
          <w:rFonts w:asciiTheme="majorBidi" w:hAnsiTheme="majorBidi" w:cstheme="majorBidi"/>
          <w:bCs/>
        </w:rPr>
      </w:pPr>
    </w:p>
    <w:p w14:paraId="74C12DF7" w14:textId="7B87F6CB" w:rsidR="008F7D9D" w:rsidRPr="00BB2074" w:rsidRDefault="008F7D9D" w:rsidP="008F7D9D">
      <w:pPr>
        <w:rPr>
          <w:rFonts w:asciiTheme="majorBidi" w:hAnsiTheme="majorBidi" w:cstheme="majorBidi"/>
          <w:bCs/>
        </w:rPr>
      </w:pPr>
      <w:r w:rsidRPr="00BB2074">
        <w:rPr>
          <w:rFonts w:asciiTheme="majorBidi" w:hAnsiTheme="majorBidi" w:cstheme="majorBidi"/>
          <w:bCs/>
        </w:rPr>
        <w:t>Online Quizzes</w:t>
      </w:r>
      <w:r w:rsidR="009079B2">
        <w:rPr>
          <w:rFonts w:asciiTheme="majorBidi" w:hAnsiTheme="majorBidi" w:cstheme="majorBidi"/>
          <w:bCs/>
        </w:rPr>
        <w:tab/>
      </w:r>
      <w:r>
        <w:rPr>
          <w:rFonts w:asciiTheme="majorBidi" w:hAnsiTheme="majorBidi" w:cstheme="majorBidi"/>
          <w:bCs/>
        </w:rPr>
        <w:tab/>
      </w:r>
      <w:r w:rsidRPr="00BB2074">
        <w:rPr>
          <w:rFonts w:asciiTheme="majorBidi" w:hAnsiTheme="majorBidi" w:cstheme="majorBidi"/>
          <w:bCs/>
        </w:rPr>
        <w:t xml:space="preserve">10% </w:t>
      </w:r>
    </w:p>
    <w:p w14:paraId="320D4076" w14:textId="36CAC980" w:rsidR="008F7D9D" w:rsidRPr="00BB2074" w:rsidRDefault="008F7D9D" w:rsidP="008F7D9D">
      <w:pPr>
        <w:rPr>
          <w:rFonts w:asciiTheme="majorBidi" w:hAnsiTheme="majorBidi" w:cstheme="majorBidi"/>
          <w:bCs/>
        </w:rPr>
      </w:pPr>
      <w:r w:rsidRPr="00BB2074">
        <w:rPr>
          <w:rFonts w:asciiTheme="majorBidi" w:hAnsiTheme="majorBidi" w:cstheme="majorBidi"/>
          <w:bCs/>
        </w:rPr>
        <w:t>Midterm Test</w:t>
      </w:r>
      <w:r w:rsidR="00EC782D">
        <w:rPr>
          <w:rFonts w:asciiTheme="majorBidi" w:hAnsiTheme="majorBidi" w:cstheme="majorBidi"/>
          <w:bCs/>
        </w:rPr>
        <w:t xml:space="preserve"> 1</w:t>
      </w:r>
      <w:r w:rsidRPr="00BB2074">
        <w:rPr>
          <w:rFonts w:asciiTheme="majorBidi" w:hAnsiTheme="majorBidi" w:cstheme="majorBidi"/>
          <w:bCs/>
        </w:rPr>
        <w:t xml:space="preserve"> </w:t>
      </w:r>
      <w:r>
        <w:rPr>
          <w:rFonts w:asciiTheme="majorBidi" w:hAnsiTheme="majorBidi" w:cstheme="majorBidi"/>
          <w:bCs/>
        </w:rPr>
        <w:tab/>
      </w:r>
      <w:r>
        <w:rPr>
          <w:rFonts w:asciiTheme="majorBidi" w:hAnsiTheme="majorBidi" w:cstheme="majorBidi"/>
          <w:bCs/>
        </w:rPr>
        <w:tab/>
      </w:r>
      <w:r w:rsidRPr="00BB2074">
        <w:rPr>
          <w:rFonts w:asciiTheme="majorBidi" w:hAnsiTheme="majorBidi" w:cstheme="majorBidi"/>
          <w:bCs/>
        </w:rPr>
        <w:t>20%</w:t>
      </w:r>
    </w:p>
    <w:p w14:paraId="416EBFB7" w14:textId="77777777" w:rsidR="008F7D9D" w:rsidRPr="00BB2074" w:rsidRDefault="008F7D9D" w:rsidP="008F7D9D">
      <w:pPr>
        <w:rPr>
          <w:rFonts w:asciiTheme="majorBidi" w:hAnsiTheme="majorBidi" w:cstheme="majorBidi"/>
          <w:bCs/>
        </w:rPr>
      </w:pPr>
      <w:r w:rsidRPr="00BB2074">
        <w:rPr>
          <w:rFonts w:asciiTheme="majorBidi" w:hAnsiTheme="majorBidi" w:cstheme="majorBidi"/>
          <w:bCs/>
        </w:rPr>
        <w:t>Midterm Test 2</w:t>
      </w:r>
      <w:r>
        <w:rPr>
          <w:rFonts w:asciiTheme="majorBidi" w:hAnsiTheme="majorBidi" w:cstheme="majorBidi"/>
          <w:bCs/>
        </w:rPr>
        <w:tab/>
      </w:r>
      <w:r>
        <w:rPr>
          <w:rFonts w:asciiTheme="majorBidi" w:hAnsiTheme="majorBidi" w:cstheme="majorBidi"/>
          <w:bCs/>
        </w:rPr>
        <w:tab/>
      </w:r>
      <w:r w:rsidRPr="00BB2074">
        <w:rPr>
          <w:rFonts w:asciiTheme="majorBidi" w:hAnsiTheme="majorBidi" w:cstheme="majorBidi"/>
          <w:bCs/>
        </w:rPr>
        <w:t>20%</w:t>
      </w:r>
    </w:p>
    <w:p w14:paraId="50BDA8F2" w14:textId="77777777" w:rsidR="008F7D9D" w:rsidRPr="00BB2074" w:rsidRDefault="008F7D9D" w:rsidP="008F7D9D">
      <w:pPr>
        <w:rPr>
          <w:rFonts w:asciiTheme="majorBidi" w:hAnsiTheme="majorBidi" w:cstheme="majorBidi"/>
          <w:bCs/>
        </w:rPr>
      </w:pPr>
      <w:r w:rsidRPr="00BB2074">
        <w:rPr>
          <w:rFonts w:asciiTheme="majorBidi" w:hAnsiTheme="majorBidi" w:cstheme="majorBidi"/>
          <w:bCs/>
        </w:rPr>
        <w:t xml:space="preserve">Final Exam </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sidRPr="00BB2074">
        <w:rPr>
          <w:rFonts w:asciiTheme="majorBidi" w:hAnsiTheme="majorBidi" w:cstheme="majorBidi"/>
          <w:bCs/>
        </w:rPr>
        <w:t>40%</w:t>
      </w:r>
    </w:p>
    <w:p w14:paraId="1707211C" w14:textId="77777777" w:rsidR="008F7D9D" w:rsidRPr="00BB2074" w:rsidRDefault="008F7D9D" w:rsidP="008F7D9D">
      <w:pPr>
        <w:rPr>
          <w:rFonts w:asciiTheme="majorBidi" w:hAnsiTheme="majorBidi" w:cstheme="majorBidi"/>
          <w:bCs/>
        </w:rPr>
      </w:pPr>
      <w:r w:rsidRPr="00BB2074">
        <w:rPr>
          <w:rFonts w:asciiTheme="majorBidi" w:hAnsiTheme="majorBidi" w:cstheme="majorBidi"/>
          <w:bCs/>
        </w:rPr>
        <w:t>Best of Tests and the Exam</w:t>
      </w:r>
      <w:r>
        <w:rPr>
          <w:rFonts w:asciiTheme="majorBidi" w:hAnsiTheme="majorBidi" w:cstheme="majorBidi"/>
          <w:bCs/>
        </w:rPr>
        <w:tab/>
      </w:r>
      <w:r w:rsidRPr="00BB2074">
        <w:rPr>
          <w:rFonts w:asciiTheme="majorBidi" w:hAnsiTheme="majorBidi" w:cstheme="majorBidi"/>
          <w:bCs/>
        </w:rPr>
        <w:t>10%</w:t>
      </w:r>
    </w:p>
    <w:p w14:paraId="078DF6CF" w14:textId="77777777" w:rsidR="008F7D9D" w:rsidRPr="00BB2074" w:rsidRDefault="008F7D9D" w:rsidP="008F7D9D">
      <w:pPr>
        <w:rPr>
          <w:rFonts w:asciiTheme="majorBidi" w:hAnsiTheme="majorBidi" w:cstheme="majorBidi"/>
          <w:bCs/>
        </w:rPr>
      </w:pPr>
    </w:p>
    <w:p w14:paraId="6C42092F" w14:textId="77777777" w:rsidR="008F7D9D" w:rsidRPr="000E7688" w:rsidRDefault="008F7D9D" w:rsidP="008F7D9D">
      <w:pPr>
        <w:rPr>
          <w:rFonts w:asciiTheme="majorBidi" w:hAnsiTheme="majorBidi" w:cstheme="majorBidi"/>
          <w:b/>
          <w:i/>
          <w:iCs/>
        </w:rPr>
      </w:pPr>
      <w:r w:rsidRPr="000E7688">
        <w:rPr>
          <w:rFonts w:asciiTheme="majorBidi" w:hAnsiTheme="majorBidi" w:cstheme="majorBidi"/>
          <w:b/>
          <w:i/>
          <w:iCs/>
        </w:rPr>
        <w:t>Online Quizzes</w:t>
      </w:r>
    </w:p>
    <w:p w14:paraId="3C6753CC" w14:textId="509C8A9D" w:rsidR="008F7D9D" w:rsidRPr="00C54D51" w:rsidRDefault="008F7D9D" w:rsidP="008F7D9D">
      <w:pPr>
        <w:ind w:left="360"/>
        <w:rPr>
          <w:rFonts w:asciiTheme="majorBidi" w:hAnsiTheme="majorBidi" w:cstheme="majorBidi"/>
          <w:bCs/>
        </w:rPr>
      </w:pPr>
      <w:r>
        <w:rPr>
          <w:rFonts w:asciiTheme="majorBidi" w:hAnsiTheme="majorBidi" w:cstheme="majorBidi"/>
          <w:bCs/>
        </w:rPr>
        <w:t>Six</w:t>
      </w:r>
      <w:r w:rsidRPr="000E7688">
        <w:rPr>
          <w:rFonts w:asciiTheme="majorBidi" w:hAnsiTheme="majorBidi" w:cstheme="majorBidi"/>
          <w:bCs/>
        </w:rPr>
        <w:t xml:space="preserve"> online quizzes</w:t>
      </w:r>
      <w:r>
        <w:rPr>
          <w:rFonts w:asciiTheme="majorBidi" w:hAnsiTheme="majorBidi" w:cstheme="majorBidi"/>
          <w:bCs/>
        </w:rPr>
        <w:t xml:space="preserve"> will be released through</w:t>
      </w:r>
      <w:r w:rsidRPr="000E7688">
        <w:rPr>
          <w:rFonts w:asciiTheme="majorBidi" w:hAnsiTheme="majorBidi" w:cstheme="majorBidi"/>
          <w:bCs/>
        </w:rPr>
        <w:t xml:space="preserve"> the "Online Quizzes" tab </w:t>
      </w:r>
      <w:r>
        <w:rPr>
          <w:rFonts w:asciiTheme="majorBidi" w:hAnsiTheme="majorBidi" w:cstheme="majorBidi"/>
          <w:bCs/>
        </w:rPr>
        <w:t xml:space="preserve">on </w:t>
      </w:r>
      <w:r w:rsidRPr="000E7688">
        <w:rPr>
          <w:rFonts w:asciiTheme="majorBidi" w:hAnsiTheme="majorBidi" w:cstheme="majorBidi"/>
          <w:bCs/>
        </w:rPr>
        <w:t xml:space="preserve">the OWL website. </w:t>
      </w:r>
      <w:r>
        <w:rPr>
          <w:rFonts w:asciiTheme="majorBidi" w:hAnsiTheme="majorBidi" w:cstheme="majorBidi"/>
          <w:bCs/>
        </w:rPr>
        <w:t xml:space="preserve"> </w:t>
      </w:r>
      <w:r w:rsidRPr="0042506C">
        <w:rPr>
          <w:rFonts w:asciiTheme="majorBidi" w:hAnsiTheme="majorBidi" w:cstheme="majorBidi"/>
          <w:bCs/>
        </w:rPr>
        <w:t>The quiz schedule (as well as other information about the quizzes) can be found on the course OWL website.</w:t>
      </w:r>
      <w:r>
        <w:rPr>
          <w:rFonts w:asciiTheme="majorBidi" w:hAnsiTheme="majorBidi" w:cstheme="majorBidi"/>
          <w:bCs/>
        </w:rPr>
        <w:t xml:space="preserve"> </w:t>
      </w:r>
      <w:r w:rsidRPr="000E7688">
        <w:rPr>
          <w:rFonts w:asciiTheme="majorBidi" w:hAnsiTheme="majorBidi" w:cstheme="majorBidi"/>
          <w:bCs/>
        </w:rPr>
        <w:t>Each quiz consists of eight multiple choice questions covering two sections of the textbook.</w:t>
      </w:r>
      <w:r w:rsidR="009079B2">
        <w:rPr>
          <w:rFonts w:asciiTheme="majorBidi" w:hAnsiTheme="majorBidi" w:cstheme="majorBidi"/>
          <w:bCs/>
        </w:rPr>
        <w:t xml:space="preserve"> </w:t>
      </w:r>
      <w:r w:rsidRPr="0042506C">
        <w:rPr>
          <w:rFonts w:asciiTheme="majorBidi" w:hAnsiTheme="majorBidi" w:cstheme="majorBidi"/>
          <w:bCs/>
        </w:rPr>
        <w:t>Students will have two attempts to complete each quiz; the questions in each attempt will be randomly generated from question pools and may differ from the others. Of these two attempts, the highest mark will be recorded as the student's quiz grade.</w:t>
      </w:r>
      <w:r>
        <w:rPr>
          <w:rFonts w:asciiTheme="majorBidi" w:hAnsiTheme="majorBidi" w:cstheme="majorBidi"/>
          <w:bCs/>
        </w:rPr>
        <w:t xml:space="preserve"> </w:t>
      </w:r>
      <w:r w:rsidRPr="00C54D51">
        <w:rPr>
          <w:rFonts w:asciiTheme="majorBidi" w:hAnsiTheme="majorBidi" w:cstheme="majorBidi"/>
          <w:bCs/>
        </w:rPr>
        <w:t>The student's best five of the six online quizzes, each counted equally, will be used to calculate the grade for the Online Quizzes component.</w:t>
      </w:r>
    </w:p>
    <w:p w14:paraId="63069F89" w14:textId="77777777" w:rsidR="008F7D9D" w:rsidRPr="00BB2074" w:rsidRDefault="008F7D9D" w:rsidP="008F7D9D">
      <w:pPr>
        <w:ind w:left="360"/>
        <w:rPr>
          <w:rFonts w:asciiTheme="majorBidi" w:hAnsiTheme="majorBidi" w:cstheme="majorBidi"/>
          <w:bCs/>
        </w:rPr>
      </w:pPr>
    </w:p>
    <w:p w14:paraId="1023303A" w14:textId="77777777" w:rsidR="008F7D9D" w:rsidRDefault="008F7D9D" w:rsidP="008F7D9D">
      <w:pPr>
        <w:ind w:left="360"/>
      </w:pPr>
      <w:r w:rsidRPr="0042506C">
        <w:rPr>
          <w:rFonts w:asciiTheme="majorBidi" w:hAnsiTheme="majorBidi" w:cstheme="majorBidi"/>
          <w:bCs/>
        </w:rPr>
        <w:t>Each quiz will be available for a 6-day window and students can take the quiz any time during this window with no time limit.</w:t>
      </w:r>
      <w:r>
        <w:rPr>
          <w:rFonts w:asciiTheme="majorBidi" w:hAnsiTheme="majorBidi" w:cstheme="majorBidi"/>
          <w:bCs/>
        </w:rPr>
        <w:t xml:space="preserve"> </w:t>
      </w:r>
      <w:r w:rsidRPr="00E71F05">
        <w:t xml:space="preserve">Students should aim to complete all </w:t>
      </w:r>
      <w:r>
        <w:t>quizzes</w:t>
      </w:r>
      <w:r w:rsidRPr="00E71F05">
        <w:t xml:space="preserve"> by the posted deadline</w:t>
      </w:r>
      <w:r>
        <w:t>. We will leave the quizzes open for 48 hours after the deadline as a grace period with</w:t>
      </w:r>
      <w:r w:rsidRPr="00E71F05">
        <w:t xml:space="preserve"> no late penalty.  </w:t>
      </w:r>
    </w:p>
    <w:p w14:paraId="4A9A20A8" w14:textId="77777777" w:rsidR="006240C2" w:rsidRDefault="006240C2" w:rsidP="008F7D9D">
      <w:pPr>
        <w:ind w:left="360"/>
      </w:pPr>
    </w:p>
    <w:p w14:paraId="5C31ABE7" w14:textId="30F5F2A2" w:rsidR="006240C2" w:rsidRDefault="006240C2" w:rsidP="006240C2">
      <w:pPr>
        <w:ind w:left="360"/>
        <w:rPr>
          <w:rFonts w:asciiTheme="majorBidi" w:hAnsiTheme="majorBidi" w:cstheme="majorBidi"/>
          <w:bCs/>
        </w:rPr>
      </w:pPr>
      <w:r>
        <w:t xml:space="preserve">Remark: </w:t>
      </w:r>
      <w:r w:rsidRPr="006240C2">
        <w:t>Th</w:t>
      </w:r>
      <w:r>
        <w:t>e</w:t>
      </w:r>
      <w:r w:rsidRPr="006240C2">
        <w:t xml:space="preserve"> </w:t>
      </w:r>
      <w:r w:rsidR="009B40F4">
        <w:t xml:space="preserve">online </w:t>
      </w:r>
      <w:r w:rsidRPr="006240C2">
        <w:t>quiz</w:t>
      </w:r>
      <w:r>
        <w:t xml:space="preserve"> won’t be proctored</w:t>
      </w:r>
      <w:r w:rsidR="009B40F4">
        <w:t xml:space="preserve">, </w:t>
      </w:r>
      <w:r w:rsidR="006A12C0">
        <w:t>however;</w:t>
      </w:r>
      <w:r>
        <w:t xml:space="preserve"> they are</w:t>
      </w:r>
      <w:r w:rsidR="006A12C0">
        <w:t xml:space="preserve"> supposed</w:t>
      </w:r>
      <w:r w:rsidRPr="006240C2">
        <w:t xml:space="preserve"> to be YOUR OWN WORK. Getting answers from a friend, from social media, or from any AI system or tool is CHEATING and is not allowed.</w:t>
      </w:r>
    </w:p>
    <w:p w14:paraId="1479946A" w14:textId="77777777" w:rsidR="008F7D9D" w:rsidRPr="00BB2074" w:rsidRDefault="008F7D9D" w:rsidP="008F7D9D">
      <w:pPr>
        <w:rPr>
          <w:rFonts w:asciiTheme="majorBidi" w:hAnsiTheme="majorBidi" w:cstheme="majorBidi"/>
          <w:bCs/>
        </w:rPr>
      </w:pPr>
    </w:p>
    <w:p w14:paraId="173F6214" w14:textId="77777777" w:rsidR="008F7D9D" w:rsidRPr="007C39BE" w:rsidRDefault="008F7D9D" w:rsidP="008F7D9D">
      <w:pPr>
        <w:rPr>
          <w:rFonts w:asciiTheme="majorBidi" w:hAnsiTheme="majorBidi" w:cstheme="majorBidi"/>
          <w:b/>
          <w:i/>
          <w:iCs/>
        </w:rPr>
      </w:pPr>
      <w:r w:rsidRPr="007C39BE">
        <w:rPr>
          <w:rFonts w:asciiTheme="majorBidi" w:hAnsiTheme="majorBidi" w:cstheme="majorBidi"/>
          <w:b/>
          <w:i/>
          <w:iCs/>
        </w:rPr>
        <w:t>Midterm Tests</w:t>
      </w:r>
    </w:p>
    <w:p w14:paraId="75A25C40" w14:textId="7A505E68" w:rsidR="008F7D9D" w:rsidRPr="00BB2074" w:rsidRDefault="008F7D9D" w:rsidP="008F7D9D">
      <w:pPr>
        <w:ind w:left="360"/>
        <w:rPr>
          <w:rFonts w:asciiTheme="majorBidi" w:hAnsiTheme="majorBidi" w:cstheme="majorBidi"/>
          <w:bCs/>
        </w:rPr>
      </w:pPr>
      <w:r w:rsidRPr="00BB2074">
        <w:rPr>
          <w:rFonts w:asciiTheme="majorBidi" w:hAnsiTheme="majorBidi" w:cstheme="majorBidi"/>
          <w:bCs/>
        </w:rPr>
        <w:t xml:space="preserve">The midterm tests will be in-person and will consist of </w:t>
      </w:r>
      <w:r w:rsidR="00305129">
        <w:rPr>
          <w:rFonts w:asciiTheme="majorBidi" w:hAnsiTheme="majorBidi" w:cstheme="majorBidi"/>
          <w:bCs/>
        </w:rPr>
        <w:t>all</w:t>
      </w:r>
      <w:r w:rsidRPr="00BB2074">
        <w:rPr>
          <w:rFonts w:asciiTheme="majorBidi" w:hAnsiTheme="majorBidi" w:cstheme="majorBidi"/>
          <w:bCs/>
        </w:rPr>
        <w:t xml:space="preserve"> multiple-choice question</w:t>
      </w:r>
      <w:r w:rsidR="00305129">
        <w:rPr>
          <w:rFonts w:asciiTheme="majorBidi" w:hAnsiTheme="majorBidi" w:cstheme="majorBidi"/>
          <w:bCs/>
        </w:rPr>
        <w:t>s</w:t>
      </w:r>
      <w:r w:rsidRPr="00BB2074">
        <w:rPr>
          <w:rFonts w:asciiTheme="majorBidi" w:hAnsiTheme="majorBidi" w:cstheme="majorBidi"/>
          <w:bCs/>
        </w:rPr>
        <w:t xml:space="preserve">. Each test will cover the content of four sections of the textbook. </w:t>
      </w:r>
    </w:p>
    <w:p w14:paraId="70B9EBEC" w14:textId="77777777" w:rsidR="008F7D9D" w:rsidRPr="00BB2074" w:rsidRDefault="008F7D9D" w:rsidP="008F7D9D">
      <w:pPr>
        <w:ind w:left="360"/>
        <w:rPr>
          <w:rFonts w:asciiTheme="majorBidi" w:hAnsiTheme="majorBidi" w:cstheme="majorBidi"/>
          <w:bCs/>
        </w:rPr>
      </w:pPr>
    </w:p>
    <w:p w14:paraId="279CB37F" w14:textId="77777777" w:rsidR="008F7D9D" w:rsidRPr="00BB2074" w:rsidRDefault="008F7D9D" w:rsidP="008F7D9D">
      <w:pPr>
        <w:ind w:left="360"/>
        <w:rPr>
          <w:rFonts w:asciiTheme="majorBidi" w:hAnsiTheme="majorBidi" w:cstheme="majorBidi"/>
          <w:bCs/>
        </w:rPr>
      </w:pPr>
      <w:r w:rsidRPr="00BB2074">
        <w:rPr>
          <w:rFonts w:asciiTheme="majorBidi" w:hAnsiTheme="majorBidi" w:cstheme="majorBidi"/>
          <w:bCs/>
        </w:rPr>
        <w:t>Here is tentative schedule for the midterms</w:t>
      </w:r>
      <w:r>
        <w:rPr>
          <w:rStyle w:val="FootnoteReference"/>
          <w:rFonts w:asciiTheme="majorBidi" w:hAnsiTheme="majorBidi" w:cstheme="majorBidi"/>
          <w:bCs/>
        </w:rPr>
        <w:footnoteReference w:id="2"/>
      </w:r>
    </w:p>
    <w:p w14:paraId="105200EC" w14:textId="26C33CA7" w:rsidR="00342675" w:rsidRDefault="008F7D9D" w:rsidP="00342675">
      <w:pPr>
        <w:numPr>
          <w:ilvl w:val="0"/>
          <w:numId w:val="18"/>
        </w:numPr>
        <w:rPr>
          <w:rFonts w:asciiTheme="majorBidi" w:hAnsiTheme="majorBidi" w:cstheme="majorBidi"/>
          <w:bCs/>
          <w:i/>
          <w:iCs/>
          <w:lang w:val="en-US"/>
        </w:rPr>
      </w:pPr>
      <w:r>
        <w:rPr>
          <w:rFonts w:asciiTheme="majorBidi" w:hAnsiTheme="majorBidi" w:cstheme="majorBidi"/>
          <w:bCs/>
        </w:rPr>
        <w:t>Midterm</w:t>
      </w:r>
      <w:r w:rsidRPr="00BB2074">
        <w:rPr>
          <w:rFonts w:asciiTheme="majorBidi" w:hAnsiTheme="majorBidi" w:cstheme="majorBidi"/>
          <w:bCs/>
        </w:rPr>
        <w:t xml:space="preserve"> Test 1: </w:t>
      </w:r>
      <w:r w:rsidRPr="00397054">
        <w:rPr>
          <w:rFonts w:asciiTheme="majorBidi" w:hAnsiTheme="majorBidi" w:cstheme="majorBidi"/>
          <w:bCs/>
          <w:i/>
          <w:iCs/>
        </w:rPr>
        <w:t>Saturday,</w:t>
      </w:r>
      <w:r w:rsidR="00D17653">
        <w:rPr>
          <w:rFonts w:asciiTheme="majorBidi" w:hAnsiTheme="majorBidi" w:cstheme="majorBidi"/>
          <w:bCs/>
          <w:i/>
          <w:iCs/>
        </w:rPr>
        <w:t xml:space="preserve"> October </w:t>
      </w:r>
      <w:r w:rsidR="00342675">
        <w:rPr>
          <w:rFonts w:asciiTheme="majorBidi" w:hAnsiTheme="majorBidi" w:cstheme="majorBidi"/>
          <w:bCs/>
          <w:i/>
          <w:iCs/>
        </w:rPr>
        <w:t>4, 2025;</w:t>
      </w:r>
      <w:r w:rsidRPr="00397054">
        <w:rPr>
          <w:rFonts w:asciiTheme="majorBidi" w:hAnsiTheme="majorBidi" w:cstheme="majorBidi"/>
          <w:bCs/>
          <w:i/>
          <w:iCs/>
        </w:rPr>
        <w:t xml:space="preserve"> </w:t>
      </w:r>
      <w:r w:rsidR="00D17653" w:rsidRPr="00D17653">
        <w:rPr>
          <w:rFonts w:asciiTheme="majorBidi" w:hAnsiTheme="majorBidi" w:cstheme="majorBidi"/>
          <w:bCs/>
          <w:i/>
          <w:iCs/>
          <w:lang w:val="en-US"/>
        </w:rPr>
        <w:t>2:00- 3:30</w:t>
      </w:r>
      <w:r w:rsidR="00564368">
        <w:rPr>
          <w:rFonts w:asciiTheme="majorBidi" w:hAnsiTheme="majorBidi" w:cstheme="majorBidi"/>
          <w:bCs/>
          <w:i/>
          <w:iCs/>
          <w:lang w:val="en-US"/>
        </w:rPr>
        <w:t xml:space="preserve"> </w:t>
      </w:r>
      <w:r w:rsidR="00D17653" w:rsidRPr="00D17653">
        <w:rPr>
          <w:rFonts w:asciiTheme="majorBidi" w:hAnsiTheme="majorBidi" w:cstheme="majorBidi"/>
          <w:bCs/>
          <w:i/>
          <w:iCs/>
          <w:lang w:val="en-US"/>
        </w:rPr>
        <w:t>pm</w:t>
      </w:r>
    </w:p>
    <w:p w14:paraId="07CCD6F6" w14:textId="70024676" w:rsidR="008F7D9D" w:rsidRPr="00342675" w:rsidRDefault="008F7D9D" w:rsidP="00342675">
      <w:pPr>
        <w:numPr>
          <w:ilvl w:val="0"/>
          <w:numId w:val="18"/>
        </w:numPr>
        <w:rPr>
          <w:rFonts w:asciiTheme="majorBidi" w:hAnsiTheme="majorBidi" w:cstheme="majorBidi"/>
          <w:bCs/>
          <w:i/>
          <w:iCs/>
          <w:lang w:val="en-US"/>
        </w:rPr>
      </w:pPr>
      <w:r w:rsidRPr="00342675">
        <w:rPr>
          <w:rFonts w:asciiTheme="majorBidi" w:hAnsiTheme="majorBidi" w:cstheme="majorBidi"/>
          <w:bCs/>
        </w:rPr>
        <w:t xml:space="preserve">Midterm Test 2: </w:t>
      </w:r>
      <w:r w:rsidRPr="00342675">
        <w:rPr>
          <w:rFonts w:asciiTheme="majorBidi" w:hAnsiTheme="majorBidi" w:cstheme="majorBidi"/>
          <w:bCs/>
          <w:i/>
          <w:iCs/>
        </w:rPr>
        <w:t>Saturday,</w:t>
      </w:r>
      <w:r w:rsidR="00342675">
        <w:rPr>
          <w:rFonts w:asciiTheme="majorBidi" w:hAnsiTheme="majorBidi" w:cstheme="majorBidi"/>
          <w:bCs/>
          <w:i/>
          <w:iCs/>
        </w:rPr>
        <w:t xml:space="preserve"> November 15;</w:t>
      </w:r>
      <w:r w:rsidRPr="00342675">
        <w:rPr>
          <w:rFonts w:asciiTheme="majorBidi" w:hAnsiTheme="majorBidi" w:cstheme="majorBidi"/>
          <w:bCs/>
          <w:i/>
          <w:iCs/>
        </w:rPr>
        <w:t xml:space="preserve"> </w:t>
      </w:r>
      <w:r w:rsidR="00950B2C" w:rsidRPr="00D17653">
        <w:rPr>
          <w:rFonts w:asciiTheme="majorBidi" w:hAnsiTheme="majorBidi" w:cstheme="majorBidi"/>
          <w:bCs/>
          <w:i/>
          <w:iCs/>
          <w:lang w:val="en-US"/>
        </w:rPr>
        <w:t>2:00- 3:30</w:t>
      </w:r>
      <w:r w:rsidR="00950B2C">
        <w:rPr>
          <w:rFonts w:asciiTheme="majorBidi" w:hAnsiTheme="majorBidi" w:cstheme="majorBidi"/>
          <w:bCs/>
          <w:i/>
          <w:iCs/>
          <w:lang w:val="en-US"/>
        </w:rPr>
        <w:t xml:space="preserve"> </w:t>
      </w:r>
      <w:r w:rsidR="00950B2C" w:rsidRPr="00D17653">
        <w:rPr>
          <w:rFonts w:asciiTheme="majorBidi" w:hAnsiTheme="majorBidi" w:cstheme="majorBidi"/>
          <w:bCs/>
          <w:i/>
          <w:iCs/>
          <w:lang w:val="en-US"/>
        </w:rPr>
        <w:t>pm</w:t>
      </w:r>
    </w:p>
    <w:p w14:paraId="585F5CA1" w14:textId="415FA4AE" w:rsidR="008F7D9D" w:rsidRPr="00BB2074" w:rsidRDefault="008F7D9D" w:rsidP="008F7D9D">
      <w:pPr>
        <w:ind w:left="360"/>
        <w:rPr>
          <w:rFonts w:asciiTheme="majorBidi" w:hAnsiTheme="majorBidi" w:cstheme="majorBidi"/>
          <w:bCs/>
        </w:rPr>
      </w:pPr>
      <w:r w:rsidRPr="00BB2074">
        <w:rPr>
          <w:rFonts w:asciiTheme="majorBidi" w:hAnsiTheme="majorBidi" w:cstheme="majorBidi"/>
          <w:bCs/>
        </w:rPr>
        <w:t xml:space="preserve">The location of the test will be announced closer to the test date. </w:t>
      </w:r>
    </w:p>
    <w:p w14:paraId="5D716E58" w14:textId="77777777" w:rsidR="008F7D9D" w:rsidRPr="00BB2074" w:rsidRDefault="008F7D9D" w:rsidP="008F7D9D">
      <w:pPr>
        <w:rPr>
          <w:rFonts w:asciiTheme="majorBidi" w:hAnsiTheme="majorBidi" w:cstheme="majorBidi"/>
          <w:bCs/>
        </w:rPr>
      </w:pPr>
      <w:r w:rsidRPr="00BB2074">
        <w:rPr>
          <w:rFonts w:asciiTheme="majorBidi" w:hAnsiTheme="majorBidi" w:cstheme="majorBidi"/>
          <w:bCs/>
        </w:rPr>
        <w:t xml:space="preserve"> </w:t>
      </w:r>
    </w:p>
    <w:p w14:paraId="63A30859" w14:textId="77777777" w:rsidR="008F7D9D" w:rsidRPr="007C39BE" w:rsidRDefault="008F7D9D" w:rsidP="008F7D9D">
      <w:pPr>
        <w:rPr>
          <w:rFonts w:asciiTheme="majorBidi" w:hAnsiTheme="majorBidi" w:cstheme="majorBidi"/>
          <w:b/>
          <w:i/>
          <w:iCs/>
        </w:rPr>
      </w:pPr>
      <w:r w:rsidRPr="007C39BE">
        <w:rPr>
          <w:rFonts w:asciiTheme="majorBidi" w:hAnsiTheme="majorBidi" w:cstheme="majorBidi"/>
          <w:b/>
          <w:i/>
          <w:iCs/>
        </w:rPr>
        <w:t>Final Exam</w:t>
      </w:r>
    </w:p>
    <w:p w14:paraId="00842B22" w14:textId="77777777" w:rsidR="008F7D9D" w:rsidRPr="00BB2074" w:rsidRDefault="008F7D9D" w:rsidP="008F7D9D">
      <w:pPr>
        <w:ind w:left="360"/>
        <w:rPr>
          <w:rFonts w:asciiTheme="majorBidi" w:hAnsiTheme="majorBidi" w:cstheme="majorBidi"/>
          <w:bCs/>
        </w:rPr>
      </w:pPr>
      <w:r w:rsidRPr="00BB2074">
        <w:rPr>
          <w:rFonts w:asciiTheme="majorBidi" w:hAnsiTheme="majorBidi" w:cstheme="majorBidi"/>
          <w:bCs/>
        </w:rPr>
        <w:t xml:space="preserve">The final exam will cover all the course material with more focus on the last part of the course. </w:t>
      </w:r>
    </w:p>
    <w:p w14:paraId="697760EF" w14:textId="0500380F" w:rsidR="008F7D9D" w:rsidRPr="00BB2074" w:rsidRDefault="008F7D9D" w:rsidP="008F7D9D">
      <w:pPr>
        <w:ind w:left="360"/>
        <w:rPr>
          <w:rFonts w:asciiTheme="majorBidi" w:hAnsiTheme="majorBidi" w:cstheme="majorBidi"/>
          <w:bCs/>
        </w:rPr>
      </w:pPr>
      <w:r w:rsidRPr="00BB2074">
        <w:rPr>
          <w:rFonts w:asciiTheme="majorBidi" w:hAnsiTheme="majorBidi" w:cstheme="majorBidi"/>
          <w:bCs/>
        </w:rPr>
        <w:t>It will be a three-hour long exam that will take place in-person and will be scheduled by the Office of Registrars.</w:t>
      </w:r>
      <w:r>
        <w:rPr>
          <w:rFonts w:asciiTheme="majorBidi" w:hAnsiTheme="majorBidi" w:cstheme="majorBidi"/>
          <w:bCs/>
        </w:rPr>
        <w:t xml:space="preserve"> </w:t>
      </w:r>
      <w:r w:rsidRPr="00BB2074">
        <w:rPr>
          <w:rFonts w:asciiTheme="majorBidi" w:hAnsiTheme="majorBidi" w:cstheme="majorBidi"/>
          <w:bCs/>
        </w:rPr>
        <w:t xml:space="preserve">Similar to the term tests, the final exam consists of </w:t>
      </w:r>
      <w:r w:rsidR="00A5245E">
        <w:rPr>
          <w:rFonts w:asciiTheme="majorBidi" w:hAnsiTheme="majorBidi" w:cstheme="majorBidi"/>
          <w:bCs/>
        </w:rPr>
        <w:t xml:space="preserve">only </w:t>
      </w:r>
      <w:r w:rsidRPr="00BB2074">
        <w:rPr>
          <w:rFonts w:asciiTheme="majorBidi" w:hAnsiTheme="majorBidi" w:cstheme="majorBidi"/>
          <w:bCs/>
        </w:rPr>
        <w:t xml:space="preserve">multiple-choice.  </w:t>
      </w:r>
    </w:p>
    <w:p w14:paraId="23CEA9C3" w14:textId="77777777" w:rsidR="008F7D9D" w:rsidRPr="00BB2074" w:rsidRDefault="008F7D9D" w:rsidP="008F7D9D">
      <w:pPr>
        <w:ind w:left="360"/>
        <w:rPr>
          <w:rFonts w:asciiTheme="majorBidi" w:hAnsiTheme="majorBidi" w:cstheme="majorBidi"/>
          <w:bCs/>
        </w:rPr>
      </w:pPr>
      <w:r w:rsidRPr="00BB2074">
        <w:rPr>
          <w:rFonts w:asciiTheme="majorBidi" w:hAnsiTheme="majorBidi" w:cstheme="majorBidi"/>
          <w:bCs/>
        </w:rPr>
        <w:t xml:space="preserve"> </w:t>
      </w:r>
    </w:p>
    <w:p w14:paraId="4A536339" w14:textId="77777777" w:rsidR="008F7D9D" w:rsidRPr="00F944D3" w:rsidRDefault="008F7D9D" w:rsidP="008F7D9D">
      <w:pPr>
        <w:rPr>
          <w:rFonts w:asciiTheme="majorBidi" w:hAnsiTheme="majorBidi" w:cstheme="majorBidi"/>
          <w:b/>
          <w:i/>
          <w:iCs/>
        </w:rPr>
      </w:pPr>
      <w:r w:rsidRPr="00F944D3">
        <w:rPr>
          <w:rFonts w:asciiTheme="majorBidi" w:hAnsiTheme="majorBidi" w:cstheme="majorBidi"/>
          <w:b/>
          <w:i/>
          <w:iCs/>
        </w:rPr>
        <w:t xml:space="preserve">The best of the tests and the exam </w:t>
      </w:r>
    </w:p>
    <w:p w14:paraId="7C12632F" w14:textId="77777777" w:rsidR="008F7D9D" w:rsidRPr="00BB2074" w:rsidRDefault="008F7D9D" w:rsidP="008F7D9D">
      <w:pPr>
        <w:ind w:left="360"/>
        <w:rPr>
          <w:rFonts w:asciiTheme="majorBidi" w:hAnsiTheme="majorBidi" w:cstheme="majorBidi"/>
          <w:bCs/>
        </w:rPr>
      </w:pPr>
      <w:r w:rsidRPr="00BB2074">
        <w:rPr>
          <w:rFonts w:asciiTheme="majorBidi" w:hAnsiTheme="majorBidi" w:cstheme="majorBidi"/>
          <w:bCs/>
        </w:rPr>
        <w:t xml:space="preserve">The remaining 10% weight will be assigned to whichever of the </w:t>
      </w:r>
      <w:r>
        <w:rPr>
          <w:rFonts w:asciiTheme="majorBidi" w:hAnsiTheme="majorBidi" w:cstheme="majorBidi"/>
          <w:bCs/>
        </w:rPr>
        <w:t xml:space="preserve">two </w:t>
      </w:r>
      <w:r w:rsidRPr="00BB2074">
        <w:rPr>
          <w:rFonts w:asciiTheme="majorBidi" w:hAnsiTheme="majorBidi" w:cstheme="majorBidi"/>
          <w:bCs/>
        </w:rPr>
        <w:t>midterm tests and the final exams is the student's best mark.</w:t>
      </w:r>
    </w:p>
    <w:p w14:paraId="68740E56" w14:textId="77777777" w:rsidR="008F7D9D" w:rsidRDefault="008F7D9D" w:rsidP="008F7D9D">
      <w:pPr>
        <w:rPr>
          <w:rFonts w:asciiTheme="majorBidi" w:hAnsiTheme="majorBidi" w:cstheme="majorBidi"/>
          <w:bCs/>
        </w:rPr>
      </w:pPr>
    </w:p>
    <w:p w14:paraId="4756FAA5" w14:textId="77777777" w:rsidR="008F7D9D" w:rsidRPr="009B077A" w:rsidRDefault="008F7D9D" w:rsidP="008F7D9D">
      <w:pPr>
        <w:rPr>
          <w:rFonts w:asciiTheme="majorBidi" w:hAnsiTheme="majorBidi" w:cstheme="majorBidi"/>
          <w:bCs/>
          <w:i/>
          <w:iCs/>
        </w:rPr>
      </w:pPr>
      <w:r w:rsidRPr="00F944D3">
        <w:rPr>
          <w:rFonts w:asciiTheme="majorBidi" w:hAnsiTheme="majorBidi" w:cstheme="majorBidi"/>
          <w:bCs/>
          <w:i/>
          <w:iCs/>
        </w:rPr>
        <w:t>Remarks</w:t>
      </w:r>
      <w:r>
        <w:rPr>
          <w:rFonts w:asciiTheme="majorBidi" w:hAnsiTheme="majorBidi" w:cstheme="majorBidi"/>
          <w:bCs/>
          <w:i/>
          <w:iCs/>
        </w:rPr>
        <w:t xml:space="preserve">: </w:t>
      </w:r>
      <w:r w:rsidRPr="009B077A">
        <w:rPr>
          <w:rFonts w:asciiTheme="majorBidi" w:hAnsiTheme="majorBidi" w:cstheme="majorBidi"/>
          <w:bCs/>
        </w:rPr>
        <w:t xml:space="preserve">NO calculators or other electronic devices or any other aids are allowed on tests and exams. </w:t>
      </w:r>
    </w:p>
    <w:p w14:paraId="373352B0" w14:textId="77777777" w:rsidR="001969FE" w:rsidRDefault="001969FE" w:rsidP="008F7D9D">
      <w:pPr>
        <w:snapToGrid w:val="0"/>
        <w:rPr>
          <w:rFonts w:asciiTheme="majorBidi" w:hAnsiTheme="majorBidi" w:cstheme="majorBidi"/>
          <w:bCs/>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13"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14">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15">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048707CD" w14:textId="77777777" w:rsidR="00EB29B0" w:rsidRDefault="00EB29B0" w:rsidP="00EB29B0">
      <w:pPr>
        <w:pStyle w:val="ListParagraph"/>
        <w:numPr>
          <w:ilvl w:val="0"/>
          <w:numId w:val="4"/>
        </w:numPr>
        <w:rPr>
          <w:rFonts w:ascii="Times New Roman" w:hAnsi="Times New Roman" w:cs="Times New Roman"/>
          <w:color w:val="000000" w:themeColor="text1"/>
        </w:rPr>
      </w:pPr>
      <w:r w:rsidRPr="004C0AA8">
        <w:rPr>
          <w:rFonts w:ascii="Times New Roman" w:hAnsi="Times New Roman" w:cs="Times New Roman"/>
          <w:color w:val="000000" w:themeColor="text1"/>
        </w:rPr>
        <w:t xml:space="preserve">Examinations scheduled during official examination periods </w:t>
      </w:r>
      <w:r>
        <w:rPr>
          <w:rFonts w:ascii="Times New Roman" w:hAnsi="Times New Roman" w:cs="Times New Roman"/>
          <w:color w:val="000000" w:themeColor="text1"/>
        </w:rPr>
        <w:t>(Defined by policy)</w:t>
      </w:r>
    </w:p>
    <w:p w14:paraId="4B42F9A5" w14:textId="77777777" w:rsidR="00EB29B0" w:rsidRPr="00D63844" w:rsidRDefault="00EB29B0" w:rsidP="00EB29B0">
      <w:pPr>
        <w:pStyle w:val="ListParagraph"/>
        <w:numPr>
          <w:ilvl w:val="0"/>
          <w:numId w:val="4"/>
        </w:numPr>
        <w:rPr>
          <w:color w:val="000000" w:themeColor="text1"/>
        </w:rPr>
      </w:pPr>
      <w:r>
        <w:rPr>
          <w:rFonts w:asciiTheme="majorBidi" w:hAnsiTheme="majorBidi" w:cstheme="majorBidi"/>
          <w:bCs/>
        </w:rPr>
        <w:t>Midterm</w:t>
      </w:r>
      <w:r w:rsidRPr="00BB2074">
        <w:rPr>
          <w:rFonts w:asciiTheme="majorBidi" w:hAnsiTheme="majorBidi" w:cstheme="majorBidi"/>
          <w:bCs/>
        </w:rPr>
        <w:t xml:space="preserve"> Test 2</w:t>
      </w:r>
      <w:r>
        <w:rPr>
          <w:rFonts w:asciiTheme="majorBidi" w:hAnsiTheme="majorBidi" w:cstheme="majorBidi"/>
          <w:bCs/>
        </w:rPr>
        <w:t>.</w:t>
      </w:r>
    </w:p>
    <w:p w14:paraId="283EC175" w14:textId="77777777" w:rsidR="00DE4ECE" w:rsidRDefault="00DE4ECE" w:rsidP="00CA408D">
      <w:pPr>
        <w:rPr>
          <w:color w:val="000000" w:themeColor="text1"/>
        </w:rPr>
      </w:pPr>
    </w:p>
    <w:p w14:paraId="3C10DF7D" w14:textId="68733ED8"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09A75F9B" w14:textId="77777777" w:rsidR="002E36B1" w:rsidRDefault="002E36B1" w:rsidP="00FF3C4E">
      <w:pPr>
        <w:rPr>
          <w:b/>
          <w:bCs/>
          <w:color w:val="000000" w:themeColor="text1"/>
        </w:rPr>
      </w:pPr>
    </w:p>
    <w:p w14:paraId="54F80969" w14:textId="4C6BBF5F" w:rsidR="002E36B1" w:rsidRPr="00251E3D" w:rsidRDefault="002E36B1" w:rsidP="00FF3C4E">
      <w:pPr>
        <w:rPr>
          <w:b/>
          <w:bCs/>
          <w:i/>
          <w:iCs/>
          <w:color w:val="000000" w:themeColor="text1"/>
        </w:rPr>
      </w:pPr>
      <w:r w:rsidRPr="00251E3D">
        <w:rPr>
          <w:b/>
          <w:bCs/>
          <w:i/>
          <w:iCs/>
          <w:color w:val="000000" w:themeColor="text1"/>
        </w:rPr>
        <w:t xml:space="preserve">Missed </w:t>
      </w:r>
      <w:r w:rsidR="00290C16" w:rsidRPr="00251E3D">
        <w:rPr>
          <w:b/>
          <w:bCs/>
          <w:i/>
          <w:iCs/>
          <w:color w:val="000000" w:themeColor="text1"/>
        </w:rPr>
        <w:t>Online Quizzes</w:t>
      </w:r>
    </w:p>
    <w:p w14:paraId="0B9DE36D" w14:textId="77777777" w:rsidR="00290C16" w:rsidRPr="00290C16" w:rsidRDefault="00290C16" w:rsidP="00290C16">
      <w:pPr>
        <w:numPr>
          <w:ilvl w:val="0"/>
          <w:numId w:val="19"/>
        </w:numPr>
        <w:rPr>
          <w:color w:val="000000" w:themeColor="text1"/>
          <w:lang w:val="en-US"/>
        </w:rPr>
      </w:pPr>
      <w:r w:rsidRPr="00290C16">
        <w:rPr>
          <w:color w:val="000000" w:themeColor="text1"/>
          <w:lang w:val="en-US"/>
        </w:rPr>
        <w:t>If a reason keeps you from taking an online quiz past the deadline and through the 48</w:t>
      </w:r>
      <w:r w:rsidRPr="00290C16">
        <w:rPr>
          <w:color w:val="000000" w:themeColor="text1"/>
          <w:lang w:val="en-US"/>
        </w:rPr>
        <w:noBreakHyphen/>
        <w:t>hour no</w:t>
      </w:r>
      <w:r w:rsidRPr="00290C16">
        <w:rPr>
          <w:color w:val="000000" w:themeColor="text1"/>
          <w:lang w:val="en-US"/>
        </w:rPr>
        <w:noBreakHyphen/>
        <w:t>penalty grace period, contact your faculty’s Academic Counselling Office immediately to request academic consideration covering both the quiz close date and the 48</w:t>
      </w:r>
      <w:r w:rsidRPr="00290C16">
        <w:rPr>
          <w:color w:val="000000" w:themeColor="text1"/>
          <w:lang w:val="en-US"/>
        </w:rPr>
        <w:noBreakHyphen/>
        <w:t>hour grace period. See “Coursework with Assessment Flexibility” for details and exceptions.</w:t>
      </w:r>
    </w:p>
    <w:p w14:paraId="432A79C8" w14:textId="77777777" w:rsidR="00290C16" w:rsidRPr="00290C16" w:rsidRDefault="00290C16" w:rsidP="00290C16">
      <w:pPr>
        <w:numPr>
          <w:ilvl w:val="0"/>
          <w:numId w:val="19"/>
        </w:numPr>
        <w:rPr>
          <w:color w:val="000000" w:themeColor="text1"/>
          <w:lang w:val="en-US"/>
        </w:rPr>
      </w:pPr>
      <w:r w:rsidRPr="00290C16">
        <w:rPr>
          <w:color w:val="000000" w:themeColor="text1"/>
          <w:lang w:val="en-US"/>
        </w:rPr>
        <w:t>If academic consideration is approved:</w:t>
      </w:r>
    </w:p>
    <w:p w14:paraId="4F8EB570" w14:textId="77777777" w:rsidR="00290C16" w:rsidRPr="00290C16" w:rsidRDefault="00290C16" w:rsidP="00290C16">
      <w:pPr>
        <w:numPr>
          <w:ilvl w:val="1"/>
          <w:numId w:val="19"/>
        </w:numPr>
        <w:rPr>
          <w:color w:val="000000" w:themeColor="text1"/>
          <w:lang w:val="en-US"/>
        </w:rPr>
      </w:pPr>
      <w:r w:rsidRPr="00290C16">
        <w:rPr>
          <w:color w:val="000000" w:themeColor="text1"/>
          <w:lang w:val="en-US"/>
        </w:rPr>
        <w:t>Approval within two weeks of the quiz close date and before classes end: the quiz will be re</w:t>
      </w:r>
      <w:r w:rsidRPr="00290C16">
        <w:rPr>
          <w:color w:val="000000" w:themeColor="text1"/>
          <w:lang w:val="en-US"/>
        </w:rPr>
        <w:noBreakHyphen/>
        <w:t>opened for 48 hours for you to complete.</w:t>
      </w:r>
    </w:p>
    <w:p w14:paraId="30D363FA" w14:textId="77777777" w:rsidR="00290C16" w:rsidRDefault="00290C16" w:rsidP="00290C16">
      <w:pPr>
        <w:numPr>
          <w:ilvl w:val="1"/>
          <w:numId w:val="19"/>
        </w:numPr>
        <w:rPr>
          <w:color w:val="000000" w:themeColor="text1"/>
          <w:lang w:val="en-US"/>
        </w:rPr>
      </w:pPr>
      <w:r w:rsidRPr="00290C16">
        <w:rPr>
          <w:color w:val="000000" w:themeColor="text1"/>
          <w:lang w:val="en-US"/>
        </w:rPr>
        <w:t>Approval after two weeks from the quiz close date or after classes end (whichever comes first): the quiz will not be re</w:t>
      </w:r>
      <w:r w:rsidRPr="00290C16">
        <w:rPr>
          <w:color w:val="000000" w:themeColor="text1"/>
          <w:lang w:val="en-US"/>
        </w:rPr>
        <w:noBreakHyphen/>
        <w:t>opened; its weight will be redistributed to other quizzes.</w:t>
      </w:r>
    </w:p>
    <w:p w14:paraId="3EC457F3" w14:textId="77777777" w:rsidR="00C438E7" w:rsidRDefault="00C438E7" w:rsidP="00C438E7">
      <w:pPr>
        <w:rPr>
          <w:color w:val="000000" w:themeColor="text1"/>
          <w:lang w:val="en-US"/>
        </w:rPr>
      </w:pPr>
    </w:p>
    <w:p w14:paraId="16F57D01" w14:textId="5DDFB94E" w:rsidR="00C438E7" w:rsidRPr="00251E3D" w:rsidRDefault="00251E3D" w:rsidP="00251E3D">
      <w:pPr>
        <w:rPr>
          <w:b/>
          <w:bCs/>
          <w:i/>
          <w:iCs/>
          <w:color w:val="000000" w:themeColor="text1"/>
          <w:lang w:val="en-US"/>
        </w:rPr>
      </w:pPr>
      <w:r w:rsidRPr="006A4C3F">
        <w:rPr>
          <w:b/>
          <w:bCs/>
          <w:color w:val="000000" w:themeColor="text1"/>
          <w:lang w:val="en-US"/>
        </w:rPr>
        <w:t xml:space="preserve">Absences from </w:t>
      </w:r>
      <w:r w:rsidR="00C438E7" w:rsidRPr="00251E3D">
        <w:rPr>
          <w:b/>
          <w:bCs/>
          <w:i/>
          <w:iCs/>
          <w:color w:val="000000" w:themeColor="text1"/>
          <w:lang w:val="en-US"/>
        </w:rPr>
        <w:t xml:space="preserve">Midterm Tests </w:t>
      </w:r>
    </w:p>
    <w:p w14:paraId="382FBCAF" w14:textId="2BFCA93E" w:rsidR="00627DCC" w:rsidRPr="00627DCC" w:rsidRDefault="00627DCC" w:rsidP="006A4C3F">
      <w:pPr>
        <w:ind w:left="709"/>
        <w:rPr>
          <w:color w:val="000000" w:themeColor="text1"/>
          <w:lang w:val="en-US"/>
        </w:rPr>
      </w:pPr>
      <w:r w:rsidRPr="00627DCC">
        <w:rPr>
          <w:color w:val="000000" w:themeColor="text1"/>
          <w:lang w:val="en-US"/>
        </w:rPr>
        <w:t xml:space="preserve">If you miss a midterm test due to any circumstance, you must provide an academic consideration covering the date of the test. As it is noted previously, students </w:t>
      </w:r>
      <w:proofErr w:type="spellStart"/>
      <w:r w:rsidRPr="00627DCC">
        <w:rPr>
          <w:color w:val="000000" w:themeColor="text1"/>
          <w:lang w:val="en-US"/>
        </w:rPr>
        <w:t>can not</w:t>
      </w:r>
      <w:proofErr w:type="spellEnd"/>
      <w:r w:rsidRPr="00627DCC">
        <w:rPr>
          <w:color w:val="000000" w:themeColor="text1"/>
          <w:lang w:val="en-US"/>
        </w:rPr>
        <w:t xml:space="preserve"> use their academic consideration without documentation for the second midterm test.</w:t>
      </w:r>
    </w:p>
    <w:p w14:paraId="1A666423" w14:textId="77777777" w:rsidR="00627DCC" w:rsidRPr="00627DCC" w:rsidRDefault="00627DCC" w:rsidP="006A4C3F">
      <w:pPr>
        <w:ind w:left="709"/>
        <w:rPr>
          <w:color w:val="000000" w:themeColor="text1"/>
          <w:lang w:val="en-US"/>
        </w:rPr>
      </w:pPr>
    </w:p>
    <w:p w14:paraId="651C4F08" w14:textId="37D4423F" w:rsidR="00627DCC" w:rsidRPr="00627DCC" w:rsidRDefault="00627DCC" w:rsidP="006A4C3F">
      <w:pPr>
        <w:ind w:left="709"/>
        <w:rPr>
          <w:color w:val="000000" w:themeColor="text1"/>
          <w:lang w:val="en-US"/>
        </w:rPr>
      </w:pPr>
      <w:r w:rsidRPr="00627DCC">
        <w:rPr>
          <w:color w:val="000000" w:themeColor="text1"/>
          <w:lang w:val="en-US"/>
        </w:rPr>
        <w:lastRenderedPageBreak/>
        <w:t xml:space="preserve">Makeup examination for the midterm tests will be available to those who are granted </w:t>
      </w:r>
      <w:r w:rsidR="00EC1214" w:rsidRPr="00627DCC">
        <w:rPr>
          <w:color w:val="000000" w:themeColor="text1"/>
          <w:lang w:val="en-US"/>
        </w:rPr>
        <w:t>academic</w:t>
      </w:r>
      <w:r w:rsidRPr="00627DCC">
        <w:rPr>
          <w:color w:val="000000" w:themeColor="text1"/>
          <w:lang w:val="en-US"/>
        </w:rPr>
        <w:t xml:space="preserve"> consideration. A makeup test is expected to be scheduled for the week after the original test date.</w:t>
      </w:r>
    </w:p>
    <w:p w14:paraId="0A10C837" w14:textId="77777777" w:rsidR="00627DCC" w:rsidRPr="00627DCC" w:rsidRDefault="00627DCC" w:rsidP="006A4C3F">
      <w:pPr>
        <w:ind w:left="709"/>
        <w:rPr>
          <w:color w:val="000000" w:themeColor="text1"/>
          <w:lang w:val="en-US"/>
        </w:rPr>
      </w:pPr>
    </w:p>
    <w:p w14:paraId="40DDA572" w14:textId="42984267" w:rsidR="00627DCC" w:rsidRPr="00627DCC" w:rsidRDefault="00627DCC" w:rsidP="006A4C3F">
      <w:pPr>
        <w:ind w:left="709"/>
        <w:rPr>
          <w:color w:val="000000" w:themeColor="text1"/>
          <w:lang w:val="en-US"/>
        </w:rPr>
      </w:pPr>
      <w:r w:rsidRPr="00627DCC">
        <w:rPr>
          <w:color w:val="000000" w:themeColor="text1"/>
          <w:lang w:val="en-US"/>
        </w:rPr>
        <w:t xml:space="preserve">In cases where a student </w:t>
      </w:r>
      <w:r w:rsidR="006A4C3F" w:rsidRPr="00627DCC">
        <w:rPr>
          <w:color w:val="000000" w:themeColor="text1"/>
          <w:lang w:val="en-US"/>
        </w:rPr>
        <w:t>misses</w:t>
      </w:r>
      <w:r w:rsidRPr="00627DCC">
        <w:rPr>
          <w:color w:val="000000" w:themeColor="text1"/>
          <w:lang w:val="en-US"/>
        </w:rPr>
        <w:t xml:space="preserve"> a midterm test and the makeup test and can provide an academic consideration for both absences, the weight of the test will be transferred to the final exam.</w:t>
      </w:r>
    </w:p>
    <w:p w14:paraId="1220DA7D" w14:textId="77777777" w:rsidR="00627DCC" w:rsidRPr="00627DCC" w:rsidRDefault="00627DCC" w:rsidP="00627DCC">
      <w:pPr>
        <w:rPr>
          <w:color w:val="000000" w:themeColor="text1"/>
          <w:lang w:val="en-US"/>
        </w:rPr>
      </w:pPr>
    </w:p>
    <w:p w14:paraId="116A993F" w14:textId="77777777" w:rsidR="00627DCC" w:rsidRPr="00251E3D" w:rsidRDefault="00627DCC" w:rsidP="00627DCC">
      <w:pPr>
        <w:rPr>
          <w:b/>
          <w:bCs/>
          <w:i/>
          <w:iCs/>
          <w:color w:val="000000" w:themeColor="text1"/>
          <w:lang w:val="en-US"/>
        </w:rPr>
      </w:pPr>
      <w:r w:rsidRPr="00251E3D">
        <w:rPr>
          <w:b/>
          <w:bCs/>
          <w:i/>
          <w:iCs/>
          <w:color w:val="000000" w:themeColor="text1"/>
          <w:lang w:val="en-US"/>
        </w:rPr>
        <w:t>Absences from Final Examinations</w:t>
      </w:r>
    </w:p>
    <w:p w14:paraId="66808373" w14:textId="77777777" w:rsidR="0043161E" w:rsidRPr="00534549" w:rsidRDefault="0043161E" w:rsidP="0043161E">
      <w:pPr>
        <w:ind w:left="709"/>
      </w:pPr>
      <w:r>
        <w:t>When a student</w:t>
      </w:r>
      <w:r w:rsidRPr="008D36EC">
        <w:t xml:space="preserve"> miss</w:t>
      </w:r>
      <w:r>
        <w:t>es</w:t>
      </w:r>
      <w:r w:rsidRPr="008D36EC">
        <w:t xml:space="preserve"> the Final Exam</w:t>
      </w:r>
      <w:r>
        <w:t xml:space="preserve"> and their Academic Consideration has been granted, they will be allowed</w:t>
      </w:r>
      <w:r w:rsidRPr="008D36EC">
        <w:t xml:space="preserve"> to write the Special Exam</w:t>
      </w:r>
      <w:r>
        <w:t>ination</w:t>
      </w:r>
      <w:r w:rsidRPr="008D36EC">
        <w:t xml:space="preserve"> (the name given by the </w:t>
      </w:r>
      <w:r>
        <w:t>U</w:t>
      </w:r>
      <w:r w:rsidRPr="008D36EC">
        <w:t>niversity to a makeup Final Exam).</w:t>
      </w:r>
      <w:r>
        <w:t xml:space="preserve"> </w:t>
      </w:r>
      <w:r>
        <w:rPr>
          <w:bCs/>
        </w:rPr>
        <w:t xml:space="preserve">See the Academic Calendar for details (under </w:t>
      </w:r>
      <w:hyperlink r:id="rId16" w:anchor="SubHeading_70" w:history="1">
        <w:r w:rsidRPr="00504B32">
          <w:rPr>
            <w:rStyle w:val="Hyperlink"/>
            <w:rFonts w:cs="Arial (Body CS)"/>
            <w:bCs/>
          </w:rPr>
          <w:t>Special Examinations</w:t>
        </w:r>
      </w:hyperlink>
      <w:r>
        <w:rPr>
          <w:bCs/>
        </w:rPr>
        <w:t xml:space="preserve">), especially for those who miss multiple final exams within one examination period. </w:t>
      </w:r>
    </w:p>
    <w:p w14:paraId="4ADE596B" w14:textId="77777777" w:rsidR="00290C16" w:rsidRPr="00FF3C4E" w:rsidRDefault="00290C16" w:rsidP="00FF3C4E">
      <w:pPr>
        <w:rPr>
          <w:b/>
          <w:bCs/>
          <w:color w:val="000000" w:themeColor="text1"/>
        </w:rPr>
      </w:pPr>
    </w:p>
    <w:p w14:paraId="3CAA8E5D" w14:textId="77777777" w:rsidR="00534549" w:rsidRDefault="00534549" w:rsidP="00FF3C4E">
      <w:pPr>
        <w:rPr>
          <w:color w:val="007F00"/>
        </w:rPr>
      </w:pPr>
    </w:p>
    <w:p w14:paraId="59688A14" w14:textId="77777777" w:rsidR="00FF3C4E" w:rsidRDefault="00FF3C4E" w:rsidP="00CA408D">
      <w:pPr>
        <w:rPr>
          <w:color w:val="000000" w:themeColor="text1"/>
        </w:rPr>
      </w:pPr>
    </w:p>
    <w:p w14:paraId="1DABB35A" w14:textId="77777777" w:rsidR="00C67A59" w:rsidRDefault="00C67A59" w:rsidP="00CA408D">
      <w:pPr>
        <w:rPr>
          <w:bCs/>
          <w:color w:val="FF0000"/>
        </w:rPr>
      </w:pPr>
    </w:p>
    <w:p w14:paraId="288CAB97" w14:textId="5F0C4050" w:rsidR="0025296D" w:rsidRPr="00657692" w:rsidRDefault="00A915C7" w:rsidP="00CA408D">
      <w:pPr>
        <w:rPr>
          <w:b/>
          <w:bCs/>
          <w:color w:val="000000" w:themeColor="text1"/>
        </w:rPr>
      </w:pPr>
      <w:r>
        <w:rPr>
          <w:b/>
          <w:bCs/>
          <w:color w:val="000000" w:themeColor="text1"/>
        </w:rPr>
        <w:t>Coursework with Assessment Flexibility</w:t>
      </w:r>
    </w:p>
    <w:p w14:paraId="4A44A082" w14:textId="77777777" w:rsidR="003F1947" w:rsidRDefault="003F1947" w:rsidP="003F1947">
      <w:pPr>
        <w:rPr>
          <w:color w:val="000000" w:themeColor="text1"/>
        </w:rPr>
      </w:pPr>
      <w:r>
        <w:rPr>
          <w:color w:val="000000" w:themeColor="text1"/>
        </w:rPr>
        <w:t>By policy, instructors may deny Academic Consideration requests for the following assessments with built-in flexibility:</w:t>
      </w:r>
    </w:p>
    <w:p w14:paraId="45CE74C4" w14:textId="77777777" w:rsidR="003F1947" w:rsidRDefault="003F1947" w:rsidP="003F1947">
      <w:pPr>
        <w:rPr>
          <w:color w:val="000000" w:themeColor="text1"/>
        </w:rPr>
      </w:pPr>
    </w:p>
    <w:p w14:paraId="1C625F5E" w14:textId="77777777" w:rsidR="003F1947" w:rsidRPr="00534549" w:rsidRDefault="003F1947" w:rsidP="003F1947">
      <w:pPr>
        <w:ind w:left="360"/>
        <w:rPr>
          <w:b/>
          <w:bCs/>
          <w:color w:val="000000" w:themeColor="text1"/>
        </w:rPr>
      </w:pPr>
      <w:r w:rsidRPr="00534549">
        <w:rPr>
          <w:b/>
          <w:bCs/>
          <w:color w:val="000000" w:themeColor="text1"/>
        </w:rPr>
        <w:t>Flexible Completion</w:t>
      </w:r>
    </w:p>
    <w:p w14:paraId="04F15CAA" w14:textId="77777777" w:rsidR="003F1947" w:rsidRPr="00793A61" w:rsidRDefault="003F1947" w:rsidP="003F1947">
      <w:pPr>
        <w:ind w:left="360"/>
        <w:rPr>
          <w:color w:val="000000" w:themeColor="text1"/>
        </w:rPr>
      </w:pPr>
      <w:r w:rsidRPr="00534549">
        <w:rPr>
          <w:b/>
          <w:bCs/>
          <w:color w:val="000000" w:themeColor="text1"/>
        </w:rPr>
        <w:t>Quizzes.</w:t>
      </w:r>
      <w:r w:rsidRPr="00534549">
        <w:rPr>
          <w:color w:val="000000" w:themeColor="text1"/>
        </w:rPr>
        <w:t xml:space="preserve"> This course has</w:t>
      </w:r>
      <w:r>
        <w:rPr>
          <w:color w:val="000000" w:themeColor="text1"/>
        </w:rPr>
        <w:t xml:space="preserve"> 6 </w:t>
      </w:r>
      <w:r w:rsidRPr="00534549">
        <w:rPr>
          <w:color w:val="000000" w:themeColor="text1"/>
        </w:rPr>
        <w:t>quizzes, and the</w:t>
      </w:r>
      <w:r>
        <w:rPr>
          <w:color w:val="000000" w:themeColor="text1"/>
        </w:rPr>
        <w:t xml:space="preserve"> five</w:t>
      </w:r>
      <w:r w:rsidRPr="00534549">
        <w:rPr>
          <w:color w:val="000000" w:themeColor="text1"/>
        </w:rPr>
        <w:t xml:space="preserve"> quizzes with the highest marks are counted towards your final grade. Should extenuating circumstances arise, </w:t>
      </w:r>
      <w:r>
        <w:rPr>
          <w:color w:val="000000" w:themeColor="text1"/>
        </w:rPr>
        <w:t xml:space="preserve">students </w:t>
      </w:r>
      <w:r w:rsidRPr="00282448">
        <w:rPr>
          <w:color w:val="000000" w:themeColor="text1"/>
          <w:u w:val="single"/>
        </w:rPr>
        <w:t>do not</w:t>
      </w:r>
      <w:r>
        <w:rPr>
          <w:color w:val="000000" w:themeColor="text1"/>
        </w:rPr>
        <w:t xml:space="preserve"> need to request Academic Consideration</w:t>
      </w:r>
      <w:r w:rsidRPr="00534549">
        <w:rPr>
          <w:color w:val="000000" w:themeColor="text1"/>
        </w:rPr>
        <w:t xml:space="preserve"> </w:t>
      </w:r>
      <w:r>
        <w:rPr>
          <w:color w:val="000000" w:themeColor="text1"/>
        </w:rPr>
        <w:t xml:space="preserve">for the first missed quiz. </w:t>
      </w:r>
      <w:r w:rsidRPr="00534549">
        <w:rPr>
          <w:color w:val="000000" w:themeColor="text1"/>
        </w:rPr>
        <w:t xml:space="preserve">Academic consideration requests will be denied for </w:t>
      </w:r>
      <w:r>
        <w:rPr>
          <w:color w:val="000000" w:themeColor="text1"/>
        </w:rPr>
        <w:t xml:space="preserve">the </w:t>
      </w:r>
      <w:r w:rsidRPr="00534549">
        <w:rPr>
          <w:color w:val="000000" w:themeColor="text1"/>
        </w:rPr>
        <w:t>first</w:t>
      </w:r>
      <w:r>
        <w:rPr>
          <w:color w:val="FF0000"/>
        </w:rPr>
        <w:t xml:space="preserve"> </w:t>
      </w:r>
      <w:r w:rsidRPr="00534549">
        <w:rPr>
          <w:color w:val="000000" w:themeColor="text1"/>
        </w:rPr>
        <w:t xml:space="preserve">missed quiz. </w:t>
      </w:r>
      <w:r w:rsidRPr="00793A61">
        <w:rPr>
          <w:color w:val="000000" w:themeColor="text1"/>
        </w:rPr>
        <w:t xml:space="preserve">Academic Consideration requests may be granted when students miss more than </w:t>
      </w:r>
      <w:r>
        <w:rPr>
          <w:color w:val="000000" w:themeColor="text1"/>
        </w:rPr>
        <w:t>one</w:t>
      </w:r>
      <w:r w:rsidRPr="00793A61">
        <w:rPr>
          <w:color w:val="000000" w:themeColor="text1"/>
        </w:rPr>
        <w:t xml:space="preserve"> quiz, and these additional (</w:t>
      </w:r>
      <w:r>
        <w:rPr>
          <w:color w:val="000000" w:themeColor="text1"/>
        </w:rPr>
        <w:t>2</w:t>
      </w:r>
      <w:r w:rsidRPr="00003F54">
        <w:rPr>
          <w:color w:val="000000" w:themeColor="text1"/>
          <w:vertAlign w:val="superscript"/>
        </w:rPr>
        <w:t>nd</w:t>
      </w:r>
      <w:r>
        <w:rPr>
          <w:color w:val="000000" w:themeColor="text1"/>
        </w:rPr>
        <w:t xml:space="preserve">, </w:t>
      </w:r>
      <w:r w:rsidRPr="00793A61">
        <w:rPr>
          <w:color w:val="000000" w:themeColor="text1"/>
        </w:rPr>
        <w:t>3</w:t>
      </w:r>
      <w:r w:rsidRPr="00793A61">
        <w:rPr>
          <w:color w:val="000000" w:themeColor="text1"/>
          <w:vertAlign w:val="superscript"/>
        </w:rPr>
        <w:t>rd</w:t>
      </w:r>
      <w:r w:rsidRPr="00793A61">
        <w:rPr>
          <w:color w:val="000000" w:themeColor="text1"/>
        </w:rPr>
        <w:t>, 4</w:t>
      </w:r>
      <w:r w:rsidRPr="00793A61">
        <w:rPr>
          <w:color w:val="000000" w:themeColor="text1"/>
          <w:vertAlign w:val="superscript"/>
        </w:rPr>
        <w:t>th</w:t>
      </w:r>
      <w:r w:rsidRPr="00793A61">
        <w:rPr>
          <w:color w:val="000000" w:themeColor="text1"/>
        </w:rPr>
        <w:t xml:space="preserve">…) missed quizzes will be reweighted to the </w:t>
      </w:r>
      <w:r>
        <w:rPr>
          <w:color w:val="000000" w:themeColor="text1"/>
        </w:rPr>
        <w:t>other quizzes</w:t>
      </w:r>
      <w:r w:rsidRPr="00793A61">
        <w:rPr>
          <w:color w:val="000000" w:themeColor="text1"/>
        </w:rPr>
        <w:t xml:space="preserve">. </w:t>
      </w:r>
    </w:p>
    <w:p w14:paraId="3A7C8C1F" w14:textId="77777777" w:rsidR="003F1947" w:rsidRDefault="003F1947" w:rsidP="003F1947">
      <w:pPr>
        <w:rPr>
          <w:color w:val="007F00"/>
        </w:rPr>
      </w:pPr>
    </w:p>
    <w:p w14:paraId="57185B1A" w14:textId="77777777" w:rsidR="003F1947" w:rsidRDefault="003F1947" w:rsidP="003F1947">
      <w:pPr>
        <w:ind w:left="360"/>
        <w:rPr>
          <w:b/>
          <w:bCs/>
          <w:color w:val="000000" w:themeColor="text1"/>
        </w:rPr>
      </w:pPr>
      <w:r w:rsidRPr="00534549">
        <w:rPr>
          <w:b/>
          <w:bCs/>
          <w:color w:val="000000" w:themeColor="text1"/>
        </w:rPr>
        <w:t>Deadline with a No-Late-Penalty Period</w:t>
      </w:r>
      <w:r>
        <w:rPr>
          <w:b/>
          <w:bCs/>
          <w:color w:val="000000" w:themeColor="text1"/>
        </w:rPr>
        <w:t xml:space="preserve"> </w:t>
      </w:r>
    </w:p>
    <w:p w14:paraId="5C6BC61E" w14:textId="77777777" w:rsidR="003F1947" w:rsidRDefault="003F1947" w:rsidP="003F1947">
      <w:pPr>
        <w:ind w:left="360"/>
      </w:pPr>
      <w:r w:rsidRPr="00E71F05">
        <w:t xml:space="preserve">Students should aim to complete all </w:t>
      </w:r>
      <w:r>
        <w:t>quizzes</w:t>
      </w:r>
      <w:r w:rsidRPr="00E71F05">
        <w:t xml:space="preserve"> by the posted deadline</w:t>
      </w:r>
      <w:r>
        <w:t xml:space="preserve">. We will leave the quizzes open for 48 hours after the deadline as a </w:t>
      </w:r>
      <w:r w:rsidRPr="00E71F05">
        <w:t>no late penalty</w:t>
      </w:r>
      <w:r>
        <w:t xml:space="preserve"> period</w:t>
      </w:r>
      <w:r w:rsidRPr="00E71F05">
        <w:t xml:space="preserve">. </w:t>
      </w:r>
      <w:r>
        <w:t>No submission will be accepted</w:t>
      </w:r>
      <w:r w:rsidRPr="00E71F05">
        <w:t xml:space="preserve"> after th</w:t>
      </w:r>
      <w:r>
        <w:t>at</w:t>
      </w:r>
      <w:r w:rsidRPr="00E71F05">
        <w:t xml:space="preserve"> 48-hour</w:t>
      </w:r>
      <w:r>
        <w:t xml:space="preserve"> period</w:t>
      </w:r>
      <w:r w:rsidRPr="00E71F05">
        <w:t>.</w:t>
      </w:r>
    </w:p>
    <w:p w14:paraId="2F7B340D" w14:textId="6099E630" w:rsidR="003C6E2C" w:rsidRDefault="003C6E2C" w:rsidP="003C6E2C">
      <w:pPr>
        <w:rPr>
          <w:b/>
        </w:rPr>
      </w:pPr>
    </w:p>
    <w:p w14:paraId="49362830" w14:textId="77777777" w:rsidR="003F1947" w:rsidRDefault="003F1947" w:rsidP="003C6E2C">
      <w:pPr>
        <w:rPr>
          <w:b/>
        </w:rPr>
      </w:pPr>
    </w:p>
    <w:p w14:paraId="3B22D00D" w14:textId="396EE016" w:rsidR="003F1947" w:rsidRDefault="003F1947" w:rsidP="003C6E2C">
      <w:pPr>
        <w:rPr>
          <w:b/>
        </w:rPr>
      </w:pPr>
    </w:p>
    <w:p w14:paraId="6D9788D3" w14:textId="77777777" w:rsidR="003F1947" w:rsidRDefault="003F1947">
      <w:pPr>
        <w:rPr>
          <w:b/>
        </w:rPr>
      </w:pPr>
      <w:r>
        <w:rPr>
          <w:b/>
        </w:rPr>
        <w:br w:type="page"/>
      </w:r>
    </w:p>
    <w:p w14:paraId="3235C987" w14:textId="6D109C32" w:rsidR="00852477" w:rsidRDefault="00A92B9B" w:rsidP="00852477">
      <w:r>
        <w:rPr>
          <w:b/>
          <w:bCs/>
          <w:sz w:val="36"/>
          <w:szCs w:val="36"/>
        </w:rPr>
        <w:lastRenderedPageBreak/>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7"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8"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9"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20"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21"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22"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23"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24"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25"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1F7004FB" w14:textId="77777777" w:rsidR="00275B07" w:rsidRDefault="00275B07" w:rsidP="00A84E86">
      <w:pPr>
        <w:rPr>
          <w:b/>
          <w:bCs/>
        </w:rPr>
      </w:pPr>
    </w:p>
    <w:p w14:paraId="52A753E4" w14:textId="77777777" w:rsidR="00275B07" w:rsidRDefault="00275B07" w:rsidP="00A84E86">
      <w:pPr>
        <w:rPr>
          <w:b/>
          <w:bCs/>
        </w:rPr>
      </w:pPr>
    </w:p>
    <w:p w14:paraId="5473A303" w14:textId="77777777" w:rsidR="00275B07" w:rsidRDefault="00275B07" w:rsidP="00A84E86">
      <w:pPr>
        <w:rPr>
          <w:b/>
          <w:bCs/>
        </w:rPr>
      </w:pPr>
    </w:p>
    <w:p w14:paraId="333595B8" w14:textId="77777777" w:rsidR="00275B07" w:rsidRDefault="00275B07" w:rsidP="00A84E86">
      <w:pPr>
        <w:rPr>
          <w:b/>
          <w:bCs/>
        </w:rPr>
      </w:pPr>
    </w:p>
    <w:p w14:paraId="3C4B083F" w14:textId="7341826D" w:rsidR="00A84E86" w:rsidRPr="00A84E86" w:rsidRDefault="00A84E86" w:rsidP="00A84E86">
      <w:r w:rsidRPr="00A84E86">
        <w:rPr>
          <w:b/>
          <w:bCs/>
        </w:rPr>
        <w:lastRenderedPageBreak/>
        <w:t>Use of Electronic Devices During Assessments</w:t>
      </w:r>
    </w:p>
    <w:p w14:paraId="19AC7D5B" w14:textId="77777777" w:rsidR="00275B07" w:rsidRDefault="00275B07" w:rsidP="00A84E86">
      <w:pPr>
        <w:spacing w:before="120"/>
        <w:rPr>
          <w:rFonts w:asciiTheme="majorBidi" w:hAnsiTheme="majorBidi" w:cstheme="majorBidi"/>
          <w:bCs/>
        </w:rPr>
      </w:pPr>
      <w:r w:rsidRPr="00F944D3">
        <w:rPr>
          <w:rFonts w:asciiTheme="majorBidi" w:hAnsiTheme="majorBidi" w:cstheme="majorBidi"/>
          <w:bCs/>
          <w:i/>
          <w:iCs/>
        </w:rPr>
        <w:t>Remarks</w:t>
      </w:r>
      <w:r>
        <w:rPr>
          <w:rFonts w:asciiTheme="majorBidi" w:hAnsiTheme="majorBidi" w:cstheme="majorBidi"/>
          <w:bCs/>
          <w:i/>
          <w:iCs/>
        </w:rPr>
        <w:t xml:space="preserve">: </w:t>
      </w:r>
      <w:r w:rsidRPr="009B077A">
        <w:rPr>
          <w:rFonts w:asciiTheme="majorBidi" w:hAnsiTheme="majorBidi" w:cstheme="majorBidi"/>
          <w:bCs/>
        </w:rPr>
        <w:t>NO calculators or other electronic devices or any other aids are allowed on tests and exams.</w:t>
      </w:r>
    </w:p>
    <w:p w14:paraId="25883AD2" w14:textId="161E0B84"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possession of unauthorized electronic devices during any in-person assessment (such as tests, midterms, and final examinations) is strictly prohibited. This includes, but is not limited to: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13F93950"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in the completion of any course assessments, including but not limited to: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07967535" w14:textId="693B0FD0" w:rsidR="00A84E86" w:rsidRPr="00A84E86" w:rsidRDefault="00A84E86" w:rsidP="00A84E86">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56F1B62F" w14:textId="77777777" w:rsidR="00A84E86" w:rsidRDefault="00A84E86" w:rsidP="00AC24C1">
      <w:pPr>
        <w:rPr>
          <w:color w:val="007F00"/>
        </w:rPr>
      </w:pPr>
    </w:p>
    <w:p w14:paraId="77E151E2" w14:textId="77777777" w:rsidR="0018608B" w:rsidRPr="003C6E2C" w:rsidRDefault="0018608B" w:rsidP="003C6E2C"/>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15CCB9EC"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26"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27"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6A053FB0"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8"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15D96DD5"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2B5BDE69" w14:textId="77777777" w:rsidR="0051421C" w:rsidRDefault="004F11B9" w:rsidP="0051421C">
      <w:pPr>
        <w:spacing w:after="120"/>
        <w:ind w:left="360"/>
        <w:rPr>
          <w:color w:val="0000FF"/>
        </w:rPr>
      </w:pPr>
      <w:hyperlink r:id="rId29" w:history="1">
        <w:r w:rsidRPr="00DE03EB">
          <w:rPr>
            <w:rStyle w:val="Hyperlink"/>
          </w:rPr>
          <w:t>http://academicsupport.uwo.ca/accessible_education/index.html</w:t>
        </w:r>
      </w:hyperlink>
    </w:p>
    <w:p w14:paraId="25CF6DAC" w14:textId="51573EF9" w:rsidR="00E170A0" w:rsidRPr="0051421C" w:rsidRDefault="0051421C" w:rsidP="0051421C">
      <w:pPr>
        <w:spacing w:after="120"/>
        <w:rPr>
          <w:color w:val="0000FF"/>
        </w:rPr>
      </w:pPr>
      <w:r>
        <w:rPr>
          <w:color w:val="FF0000"/>
        </w:rPr>
        <w:br/>
      </w:r>
      <w:r w:rsidR="00E170A0" w:rsidRPr="003C6E2C">
        <w:t xml:space="preserve">Learning-skills counsellors at </w:t>
      </w:r>
      <w:r w:rsidR="00E40E2C">
        <w:t>Learning Development and Success</w:t>
      </w:r>
      <w:r w:rsidR="00E170A0" w:rsidRPr="003C6E2C">
        <w:t xml:space="preserve"> (</w:t>
      </w:r>
      <w:hyperlink r:id="rId30" w:history="1">
        <w:r w:rsidR="00A411D6" w:rsidRPr="00DE03EB">
          <w:rPr>
            <w:rStyle w:val="Hyperlink"/>
          </w:rPr>
          <w:t>https://learning.uwo.ca</w:t>
        </w:r>
      </w:hyperlink>
      <w:r w:rsidR="00E170A0" w:rsidRPr="003C6E2C">
        <w:t xml:space="preserve">) are ready to </w:t>
      </w:r>
      <w:r w:rsidR="00E170A0" w:rsidRPr="003C6E2C">
        <w:lastRenderedPageBreak/>
        <w:t xml:space="preserve">help you improve your learning skills. </w:t>
      </w:r>
      <w:r w:rsidR="00E170A0">
        <w:t xml:space="preserve"> </w:t>
      </w:r>
      <w:r w:rsidR="00E170A0" w:rsidRPr="003C6E2C">
        <w:t>They offer presentations on strategies for improving time management, multiple-choice exam preparation/writing, textbook reading, and more.</w:t>
      </w:r>
      <w:r w:rsidR="00E170A0">
        <w:t xml:space="preserve"> </w:t>
      </w:r>
      <w:r w:rsidR="00E170A0"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1B17B1F2"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31" w:history="1">
        <w:r w:rsidRPr="00D96881">
          <w:rPr>
            <w:rStyle w:val="Hyperlink"/>
          </w:rPr>
          <w:t>https://www.uwo.ca/se/digital/</w:t>
        </w:r>
      </w:hyperlink>
      <w:r>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32" w:history="1">
        <w:r w:rsidR="0044775F" w:rsidRPr="0044775F">
          <w:rPr>
            <w:rStyle w:val="Hyperlink"/>
            <w:lang w:val="en-US"/>
          </w:rPr>
          <w:t>https://westernusc.ca/services/</w:t>
        </w:r>
      </w:hyperlink>
      <w:r w:rsidRPr="00C72B92">
        <w:rPr>
          <w:color w:val="000000" w:themeColor="text1"/>
        </w:rPr>
        <w:t>.</w:t>
      </w:r>
    </w:p>
    <w:sectPr w:rsidR="003C6E2C" w:rsidRPr="007A071F" w:rsidSect="00D15A17">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DC854" w14:textId="77777777" w:rsidR="009E5FF8" w:rsidRDefault="009E5FF8" w:rsidP="00261046">
      <w:r>
        <w:separator/>
      </w:r>
    </w:p>
  </w:endnote>
  <w:endnote w:type="continuationSeparator" w:id="0">
    <w:p w14:paraId="1EE78B0D" w14:textId="77777777" w:rsidR="009E5FF8" w:rsidRDefault="009E5FF8" w:rsidP="0026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w:altName w:val="Calibri"/>
    <w:charset w:val="4D"/>
    <w:family w:val="swiss"/>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38138" w14:textId="77777777" w:rsidR="009E5FF8" w:rsidRDefault="009E5FF8" w:rsidP="00261046">
      <w:r>
        <w:separator/>
      </w:r>
    </w:p>
  </w:footnote>
  <w:footnote w:type="continuationSeparator" w:id="0">
    <w:p w14:paraId="3348DF6C" w14:textId="77777777" w:rsidR="009E5FF8" w:rsidRDefault="009E5FF8" w:rsidP="00261046">
      <w:r>
        <w:continuationSeparator/>
      </w:r>
    </w:p>
  </w:footnote>
  <w:footnote w:id="1">
    <w:p w14:paraId="759AE6A0" w14:textId="568E7DF1" w:rsidR="00261046" w:rsidRPr="00601D95" w:rsidRDefault="00261046" w:rsidP="00261046">
      <w:pPr>
        <w:pStyle w:val="FootnoteText"/>
        <w:rPr>
          <w:lang w:val="en-US"/>
        </w:rPr>
      </w:pPr>
      <w:r>
        <w:rPr>
          <w:rStyle w:val="FootnoteReference"/>
        </w:rPr>
        <w:footnoteRef/>
      </w:r>
      <w:r>
        <w:t xml:space="preserve"> </w:t>
      </w:r>
      <w:r>
        <w:rPr>
          <w:color w:val="000000"/>
        </w:rPr>
        <w:t>This course outline is subject to change, and any changes will be clearly communicated via the course OWL</w:t>
      </w:r>
      <w:r w:rsidR="005E600F">
        <w:rPr>
          <w:color w:val="000000"/>
        </w:rPr>
        <w:t xml:space="preserve"> Brightspace</w:t>
      </w:r>
      <w:r>
        <w:rPr>
          <w:color w:val="000000"/>
        </w:rPr>
        <w:t xml:space="preserve"> website.</w:t>
      </w:r>
    </w:p>
    <w:p w14:paraId="1B79DF68" w14:textId="528E70A6" w:rsidR="00261046" w:rsidRPr="00261046" w:rsidRDefault="00261046">
      <w:pPr>
        <w:pStyle w:val="FootnoteText"/>
        <w:rPr>
          <w:lang w:val="en-US"/>
        </w:rPr>
      </w:pPr>
    </w:p>
  </w:footnote>
  <w:footnote w:id="2">
    <w:p w14:paraId="49BC2FA2" w14:textId="77777777" w:rsidR="008F7D9D" w:rsidRPr="00397054" w:rsidRDefault="008F7D9D" w:rsidP="008F7D9D">
      <w:pPr>
        <w:pStyle w:val="FootnoteText"/>
        <w:rPr>
          <w:lang w:val="en-US"/>
        </w:rPr>
      </w:pPr>
      <w:r>
        <w:rPr>
          <w:rStyle w:val="FootnoteReference"/>
        </w:rPr>
        <w:footnoteRef/>
      </w:r>
      <w:r>
        <w:t xml:space="preserve"> </w:t>
      </w:r>
      <w:r w:rsidRPr="00BB2074">
        <w:rPr>
          <w:rFonts w:asciiTheme="majorBidi" w:hAnsiTheme="majorBidi" w:cstheme="majorBidi"/>
          <w:bCs/>
        </w:rPr>
        <w:t>The dates/time will be finalized after they are reviewed by the exam central.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057"/>
    <w:multiLevelType w:val="hybridMultilevel"/>
    <w:tmpl w:val="FEA0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7291D"/>
    <w:multiLevelType w:val="multilevel"/>
    <w:tmpl w:val="0732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61A8E"/>
    <w:multiLevelType w:val="hybridMultilevel"/>
    <w:tmpl w:val="6BCA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E5EA8"/>
    <w:multiLevelType w:val="hybridMultilevel"/>
    <w:tmpl w:val="534A9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F272DB"/>
    <w:multiLevelType w:val="hybridMultilevel"/>
    <w:tmpl w:val="203A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26C7A"/>
    <w:multiLevelType w:val="hybridMultilevel"/>
    <w:tmpl w:val="9366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A0D9B"/>
    <w:multiLevelType w:val="hybridMultilevel"/>
    <w:tmpl w:val="4938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23B2B"/>
    <w:multiLevelType w:val="hybridMultilevel"/>
    <w:tmpl w:val="6300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1F07"/>
    <w:multiLevelType w:val="hybridMultilevel"/>
    <w:tmpl w:val="20DAD7A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83842"/>
    <w:multiLevelType w:val="hybridMultilevel"/>
    <w:tmpl w:val="B5EA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F6119"/>
    <w:multiLevelType w:val="multilevel"/>
    <w:tmpl w:val="AAD6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C0508"/>
    <w:multiLevelType w:val="hybridMultilevel"/>
    <w:tmpl w:val="6970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67D48"/>
    <w:multiLevelType w:val="hybridMultilevel"/>
    <w:tmpl w:val="0A6E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93441"/>
    <w:multiLevelType w:val="hybridMultilevel"/>
    <w:tmpl w:val="C4BA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30133"/>
    <w:multiLevelType w:val="hybridMultilevel"/>
    <w:tmpl w:val="477E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3"/>
  </w:num>
  <w:num w:numId="2" w16cid:durableId="1050150174">
    <w:abstractNumId w:val="1"/>
  </w:num>
  <w:num w:numId="3" w16cid:durableId="1777098073">
    <w:abstractNumId w:val="11"/>
  </w:num>
  <w:num w:numId="4" w16cid:durableId="1437095626">
    <w:abstractNumId w:val="12"/>
  </w:num>
  <w:num w:numId="5" w16cid:durableId="614362468">
    <w:abstractNumId w:val="17"/>
  </w:num>
  <w:num w:numId="6" w16cid:durableId="956568215">
    <w:abstractNumId w:val="13"/>
  </w:num>
  <w:num w:numId="7" w16cid:durableId="1016814031">
    <w:abstractNumId w:val="8"/>
  </w:num>
  <w:num w:numId="8" w16cid:durableId="1351950911">
    <w:abstractNumId w:val="4"/>
  </w:num>
  <w:num w:numId="9" w16cid:durableId="698505025">
    <w:abstractNumId w:val="5"/>
  </w:num>
  <w:num w:numId="10" w16cid:durableId="396055751">
    <w:abstractNumId w:val="6"/>
  </w:num>
  <w:num w:numId="11" w16cid:durableId="1945385519">
    <w:abstractNumId w:val="18"/>
  </w:num>
  <w:num w:numId="12" w16cid:durableId="1456633330">
    <w:abstractNumId w:val="7"/>
  </w:num>
  <w:num w:numId="13" w16cid:durableId="1349333019">
    <w:abstractNumId w:val="10"/>
  </w:num>
  <w:num w:numId="14" w16cid:durableId="1075278913">
    <w:abstractNumId w:val="9"/>
  </w:num>
  <w:num w:numId="15" w16cid:durableId="200216301">
    <w:abstractNumId w:val="15"/>
  </w:num>
  <w:num w:numId="16" w16cid:durableId="761415253">
    <w:abstractNumId w:val="16"/>
  </w:num>
  <w:num w:numId="17" w16cid:durableId="689336037">
    <w:abstractNumId w:val="0"/>
  </w:num>
  <w:num w:numId="18" w16cid:durableId="1883861055">
    <w:abstractNumId w:val="2"/>
  </w:num>
  <w:num w:numId="19" w16cid:durableId="1727409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01C8"/>
    <w:rsid w:val="00027A96"/>
    <w:rsid w:val="000301D0"/>
    <w:rsid w:val="00040B38"/>
    <w:rsid w:val="000411FB"/>
    <w:rsid w:val="0005651E"/>
    <w:rsid w:val="00056864"/>
    <w:rsid w:val="00060716"/>
    <w:rsid w:val="00063B29"/>
    <w:rsid w:val="000776C9"/>
    <w:rsid w:val="00081B36"/>
    <w:rsid w:val="00083DAF"/>
    <w:rsid w:val="000908FC"/>
    <w:rsid w:val="00093243"/>
    <w:rsid w:val="00093D84"/>
    <w:rsid w:val="000963E1"/>
    <w:rsid w:val="000A1F30"/>
    <w:rsid w:val="000C6706"/>
    <w:rsid w:val="000D2539"/>
    <w:rsid w:val="000D2A40"/>
    <w:rsid w:val="000D3A67"/>
    <w:rsid w:val="000E4BA4"/>
    <w:rsid w:val="000F43FD"/>
    <w:rsid w:val="000F7094"/>
    <w:rsid w:val="00102B7B"/>
    <w:rsid w:val="00102C67"/>
    <w:rsid w:val="00103931"/>
    <w:rsid w:val="00107FF8"/>
    <w:rsid w:val="00121B8A"/>
    <w:rsid w:val="00133718"/>
    <w:rsid w:val="001448F1"/>
    <w:rsid w:val="001462DE"/>
    <w:rsid w:val="00147533"/>
    <w:rsid w:val="00150DE0"/>
    <w:rsid w:val="001532E2"/>
    <w:rsid w:val="00154083"/>
    <w:rsid w:val="00155D4E"/>
    <w:rsid w:val="001650EC"/>
    <w:rsid w:val="00166B59"/>
    <w:rsid w:val="00177A0E"/>
    <w:rsid w:val="00181B74"/>
    <w:rsid w:val="00184D30"/>
    <w:rsid w:val="0018608B"/>
    <w:rsid w:val="001908BC"/>
    <w:rsid w:val="00190BC7"/>
    <w:rsid w:val="00193F63"/>
    <w:rsid w:val="001951E1"/>
    <w:rsid w:val="001969FE"/>
    <w:rsid w:val="001A6DAD"/>
    <w:rsid w:val="001B0007"/>
    <w:rsid w:val="001B0513"/>
    <w:rsid w:val="001B3993"/>
    <w:rsid w:val="001B4451"/>
    <w:rsid w:val="001C0BCA"/>
    <w:rsid w:val="001D26DE"/>
    <w:rsid w:val="001D554E"/>
    <w:rsid w:val="001E1463"/>
    <w:rsid w:val="001E2348"/>
    <w:rsid w:val="001F2777"/>
    <w:rsid w:val="001F4348"/>
    <w:rsid w:val="002065A1"/>
    <w:rsid w:val="00206FDB"/>
    <w:rsid w:val="00211599"/>
    <w:rsid w:val="0022363F"/>
    <w:rsid w:val="00231CEC"/>
    <w:rsid w:val="00232781"/>
    <w:rsid w:val="00235D36"/>
    <w:rsid w:val="00250041"/>
    <w:rsid w:val="00251E3D"/>
    <w:rsid w:val="002524CC"/>
    <w:rsid w:val="0025296D"/>
    <w:rsid w:val="00257C96"/>
    <w:rsid w:val="00260F1C"/>
    <w:rsid w:val="00261046"/>
    <w:rsid w:val="00266229"/>
    <w:rsid w:val="00272969"/>
    <w:rsid w:val="002734A0"/>
    <w:rsid w:val="00274701"/>
    <w:rsid w:val="00275B07"/>
    <w:rsid w:val="002771FD"/>
    <w:rsid w:val="002816A2"/>
    <w:rsid w:val="00282448"/>
    <w:rsid w:val="002835D6"/>
    <w:rsid w:val="00285E1F"/>
    <w:rsid w:val="00290C16"/>
    <w:rsid w:val="00297CEC"/>
    <w:rsid w:val="002A1E88"/>
    <w:rsid w:val="002A30AF"/>
    <w:rsid w:val="002A484D"/>
    <w:rsid w:val="002A4F0B"/>
    <w:rsid w:val="002A611F"/>
    <w:rsid w:val="002B7A9E"/>
    <w:rsid w:val="002B7D47"/>
    <w:rsid w:val="002C3423"/>
    <w:rsid w:val="002C63FD"/>
    <w:rsid w:val="002D2EFB"/>
    <w:rsid w:val="002D3E5A"/>
    <w:rsid w:val="002D468E"/>
    <w:rsid w:val="002D5CA5"/>
    <w:rsid w:val="002E36B1"/>
    <w:rsid w:val="002E5260"/>
    <w:rsid w:val="002F6F57"/>
    <w:rsid w:val="003024DB"/>
    <w:rsid w:val="003037B0"/>
    <w:rsid w:val="00305129"/>
    <w:rsid w:val="003110D6"/>
    <w:rsid w:val="00311AA1"/>
    <w:rsid w:val="00320666"/>
    <w:rsid w:val="00322407"/>
    <w:rsid w:val="00326122"/>
    <w:rsid w:val="0033431A"/>
    <w:rsid w:val="00342675"/>
    <w:rsid w:val="00344527"/>
    <w:rsid w:val="003545EC"/>
    <w:rsid w:val="00355D1E"/>
    <w:rsid w:val="0036257C"/>
    <w:rsid w:val="00373188"/>
    <w:rsid w:val="003733A0"/>
    <w:rsid w:val="00375C6E"/>
    <w:rsid w:val="00384666"/>
    <w:rsid w:val="0038747F"/>
    <w:rsid w:val="003935C8"/>
    <w:rsid w:val="003951DE"/>
    <w:rsid w:val="003A1E08"/>
    <w:rsid w:val="003A4361"/>
    <w:rsid w:val="003B02F6"/>
    <w:rsid w:val="003B25F7"/>
    <w:rsid w:val="003B4E1B"/>
    <w:rsid w:val="003C2457"/>
    <w:rsid w:val="003C54B8"/>
    <w:rsid w:val="003C6E2C"/>
    <w:rsid w:val="003D29E7"/>
    <w:rsid w:val="003D4C2D"/>
    <w:rsid w:val="003E0231"/>
    <w:rsid w:val="003E333C"/>
    <w:rsid w:val="003E374F"/>
    <w:rsid w:val="003F0C6D"/>
    <w:rsid w:val="003F1947"/>
    <w:rsid w:val="00403821"/>
    <w:rsid w:val="00403CC2"/>
    <w:rsid w:val="00405E8C"/>
    <w:rsid w:val="00407E39"/>
    <w:rsid w:val="00411959"/>
    <w:rsid w:val="00412F5A"/>
    <w:rsid w:val="0042785E"/>
    <w:rsid w:val="00430AEB"/>
    <w:rsid w:val="00430CBF"/>
    <w:rsid w:val="0043161E"/>
    <w:rsid w:val="004349F5"/>
    <w:rsid w:val="004365CA"/>
    <w:rsid w:val="0043694A"/>
    <w:rsid w:val="0044775F"/>
    <w:rsid w:val="00455123"/>
    <w:rsid w:val="00470F3D"/>
    <w:rsid w:val="0047201B"/>
    <w:rsid w:val="00475F65"/>
    <w:rsid w:val="00485550"/>
    <w:rsid w:val="004861F6"/>
    <w:rsid w:val="0048727B"/>
    <w:rsid w:val="00492AFE"/>
    <w:rsid w:val="004936EE"/>
    <w:rsid w:val="004A0E85"/>
    <w:rsid w:val="004B1B27"/>
    <w:rsid w:val="004B4DE8"/>
    <w:rsid w:val="004B6409"/>
    <w:rsid w:val="004B6AB1"/>
    <w:rsid w:val="004C311E"/>
    <w:rsid w:val="004C3FE9"/>
    <w:rsid w:val="004C6A0B"/>
    <w:rsid w:val="004D3EEA"/>
    <w:rsid w:val="004D756E"/>
    <w:rsid w:val="004E3776"/>
    <w:rsid w:val="004F11B9"/>
    <w:rsid w:val="004F1FFF"/>
    <w:rsid w:val="004F3C01"/>
    <w:rsid w:val="004F4F29"/>
    <w:rsid w:val="004F6B6B"/>
    <w:rsid w:val="004F7D4A"/>
    <w:rsid w:val="005029EE"/>
    <w:rsid w:val="00504B32"/>
    <w:rsid w:val="005104E1"/>
    <w:rsid w:val="00510EC7"/>
    <w:rsid w:val="0051421C"/>
    <w:rsid w:val="00516A1D"/>
    <w:rsid w:val="00525BF1"/>
    <w:rsid w:val="00531567"/>
    <w:rsid w:val="00534549"/>
    <w:rsid w:val="00541B1F"/>
    <w:rsid w:val="00542843"/>
    <w:rsid w:val="00544B45"/>
    <w:rsid w:val="00545F6F"/>
    <w:rsid w:val="00556ECC"/>
    <w:rsid w:val="00564368"/>
    <w:rsid w:val="0056647E"/>
    <w:rsid w:val="005773FF"/>
    <w:rsid w:val="00587074"/>
    <w:rsid w:val="00590A97"/>
    <w:rsid w:val="005953FA"/>
    <w:rsid w:val="00597639"/>
    <w:rsid w:val="00597938"/>
    <w:rsid w:val="005A4D65"/>
    <w:rsid w:val="005C1FF2"/>
    <w:rsid w:val="005D517E"/>
    <w:rsid w:val="005D51D6"/>
    <w:rsid w:val="005D5D82"/>
    <w:rsid w:val="005E5207"/>
    <w:rsid w:val="005E600F"/>
    <w:rsid w:val="005F122C"/>
    <w:rsid w:val="005F1956"/>
    <w:rsid w:val="00602582"/>
    <w:rsid w:val="00602718"/>
    <w:rsid w:val="006054F8"/>
    <w:rsid w:val="00610064"/>
    <w:rsid w:val="006240C2"/>
    <w:rsid w:val="0062588C"/>
    <w:rsid w:val="00627DCC"/>
    <w:rsid w:val="006363A4"/>
    <w:rsid w:val="00637E77"/>
    <w:rsid w:val="006471DA"/>
    <w:rsid w:val="00657692"/>
    <w:rsid w:val="006728EB"/>
    <w:rsid w:val="00681697"/>
    <w:rsid w:val="00682D2F"/>
    <w:rsid w:val="006861F6"/>
    <w:rsid w:val="006A12C0"/>
    <w:rsid w:val="006A17AD"/>
    <w:rsid w:val="006A4040"/>
    <w:rsid w:val="006A4C3F"/>
    <w:rsid w:val="006B60A1"/>
    <w:rsid w:val="006B75C6"/>
    <w:rsid w:val="006D2876"/>
    <w:rsid w:val="006D28B8"/>
    <w:rsid w:val="006E2716"/>
    <w:rsid w:val="006E33A7"/>
    <w:rsid w:val="006E4F11"/>
    <w:rsid w:val="006F2006"/>
    <w:rsid w:val="006F72FE"/>
    <w:rsid w:val="007169B1"/>
    <w:rsid w:val="00717A50"/>
    <w:rsid w:val="00723EDE"/>
    <w:rsid w:val="00724514"/>
    <w:rsid w:val="00724AE1"/>
    <w:rsid w:val="00741ED3"/>
    <w:rsid w:val="00751EB2"/>
    <w:rsid w:val="00752121"/>
    <w:rsid w:val="00754A93"/>
    <w:rsid w:val="00761495"/>
    <w:rsid w:val="0076171B"/>
    <w:rsid w:val="0076256F"/>
    <w:rsid w:val="007628C4"/>
    <w:rsid w:val="00767C6B"/>
    <w:rsid w:val="007707B8"/>
    <w:rsid w:val="00773883"/>
    <w:rsid w:val="00776807"/>
    <w:rsid w:val="00784562"/>
    <w:rsid w:val="00786027"/>
    <w:rsid w:val="007904F5"/>
    <w:rsid w:val="00795DAC"/>
    <w:rsid w:val="00796022"/>
    <w:rsid w:val="007A02FE"/>
    <w:rsid w:val="007A071F"/>
    <w:rsid w:val="007A5D4F"/>
    <w:rsid w:val="007B44CF"/>
    <w:rsid w:val="007B63AE"/>
    <w:rsid w:val="007B7754"/>
    <w:rsid w:val="007D2A57"/>
    <w:rsid w:val="007D561A"/>
    <w:rsid w:val="007E56B4"/>
    <w:rsid w:val="007E5B22"/>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5B86"/>
    <w:rsid w:val="00852477"/>
    <w:rsid w:val="00856E2B"/>
    <w:rsid w:val="0086315A"/>
    <w:rsid w:val="0086594E"/>
    <w:rsid w:val="00867AFD"/>
    <w:rsid w:val="008720B1"/>
    <w:rsid w:val="00873BD0"/>
    <w:rsid w:val="00886A2D"/>
    <w:rsid w:val="008A0453"/>
    <w:rsid w:val="008A2AAA"/>
    <w:rsid w:val="008A3113"/>
    <w:rsid w:val="008A3BC7"/>
    <w:rsid w:val="008B1594"/>
    <w:rsid w:val="008C038D"/>
    <w:rsid w:val="008C163A"/>
    <w:rsid w:val="008D36EC"/>
    <w:rsid w:val="008D53F6"/>
    <w:rsid w:val="008E37F3"/>
    <w:rsid w:val="008E4055"/>
    <w:rsid w:val="008F4182"/>
    <w:rsid w:val="008F7D9D"/>
    <w:rsid w:val="00903DC5"/>
    <w:rsid w:val="009051E3"/>
    <w:rsid w:val="009079B2"/>
    <w:rsid w:val="009160A7"/>
    <w:rsid w:val="00920424"/>
    <w:rsid w:val="00923DE7"/>
    <w:rsid w:val="009261E5"/>
    <w:rsid w:val="00931DCF"/>
    <w:rsid w:val="009410F8"/>
    <w:rsid w:val="00950B2C"/>
    <w:rsid w:val="00954F01"/>
    <w:rsid w:val="00966DA2"/>
    <w:rsid w:val="00966F69"/>
    <w:rsid w:val="009761AD"/>
    <w:rsid w:val="00980096"/>
    <w:rsid w:val="009841DC"/>
    <w:rsid w:val="009926DB"/>
    <w:rsid w:val="00992A57"/>
    <w:rsid w:val="009A1999"/>
    <w:rsid w:val="009A1E1C"/>
    <w:rsid w:val="009A1ECF"/>
    <w:rsid w:val="009A48F3"/>
    <w:rsid w:val="009B40F4"/>
    <w:rsid w:val="009C1E92"/>
    <w:rsid w:val="009C7507"/>
    <w:rsid w:val="009D1ED0"/>
    <w:rsid w:val="009D2AC7"/>
    <w:rsid w:val="009D571D"/>
    <w:rsid w:val="009D7F1B"/>
    <w:rsid w:val="009E0FDD"/>
    <w:rsid w:val="009E18D3"/>
    <w:rsid w:val="009E5B29"/>
    <w:rsid w:val="009E5FF8"/>
    <w:rsid w:val="009F1F74"/>
    <w:rsid w:val="009F463E"/>
    <w:rsid w:val="00A01568"/>
    <w:rsid w:val="00A02138"/>
    <w:rsid w:val="00A021FA"/>
    <w:rsid w:val="00A03EB9"/>
    <w:rsid w:val="00A0467B"/>
    <w:rsid w:val="00A057BB"/>
    <w:rsid w:val="00A05D8F"/>
    <w:rsid w:val="00A143B4"/>
    <w:rsid w:val="00A14EFD"/>
    <w:rsid w:val="00A2310E"/>
    <w:rsid w:val="00A34407"/>
    <w:rsid w:val="00A411D6"/>
    <w:rsid w:val="00A414C4"/>
    <w:rsid w:val="00A5245E"/>
    <w:rsid w:val="00A53992"/>
    <w:rsid w:val="00A53DA7"/>
    <w:rsid w:val="00A611D5"/>
    <w:rsid w:val="00A72780"/>
    <w:rsid w:val="00A83929"/>
    <w:rsid w:val="00A84D9F"/>
    <w:rsid w:val="00A84E86"/>
    <w:rsid w:val="00A915C7"/>
    <w:rsid w:val="00A9170C"/>
    <w:rsid w:val="00A91B6E"/>
    <w:rsid w:val="00A92B9B"/>
    <w:rsid w:val="00A93A92"/>
    <w:rsid w:val="00AA4030"/>
    <w:rsid w:val="00AA5E12"/>
    <w:rsid w:val="00AC24C1"/>
    <w:rsid w:val="00AC7C0C"/>
    <w:rsid w:val="00AD70A6"/>
    <w:rsid w:val="00AE213B"/>
    <w:rsid w:val="00AF03C1"/>
    <w:rsid w:val="00AF1222"/>
    <w:rsid w:val="00AF3F53"/>
    <w:rsid w:val="00AF5B18"/>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4F1F"/>
    <w:rsid w:val="00B66E0A"/>
    <w:rsid w:val="00B70819"/>
    <w:rsid w:val="00B725A6"/>
    <w:rsid w:val="00B82F2C"/>
    <w:rsid w:val="00B925BA"/>
    <w:rsid w:val="00B95F22"/>
    <w:rsid w:val="00B96E71"/>
    <w:rsid w:val="00BB3577"/>
    <w:rsid w:val="00BB6018"/>
    <w:rsid w:val="00BC7F92"/>
    <w:rsid w:val="00BD1C26"/>
    <w:rsid w:val="00BE1304"/>
    <w:rsid w:val="00BE413A"/>
    <w:rsid w:val="00BE6D96"/>
    <w:rsid w:val="00BF70FC"/>
    <w:rsid w:val="00C169FF"/>
    <w:rsid w:val="00C16DF2"/>
    <w:rsid w:val="00C22C65"/>
    <w:rsid w:val="00C25D9E"/>
    <w:rsid w:val="00C4015E"/>
    <w:rsid w:val="00C41206"/>
    <w:rsid w:val="00C438E7"/>
    <w:rsid w:val="00C5116C"/>
    <w:rsid w:val="00C5190A"/>
    <w:rsid w:val="00C53B15"/>
    <w:rsid w:val="00C6222B"/>
    <w:rsid w:val="00C62B7E"/>
    <w:rsid w:val="00C67A59"/>
    <w:rsid w:val="00C70D02"/>
    <w:rsid w:val="00C72B92"/>
    <w:rsid w:val="00C74C22"/>
    <w:rsid w:val="00C75FB1"/>
    <w:rsid w:val="00C77F41"/>
    <w:rsid w:val="00C85245"/>
    <w:rsid w:val="00C94402"/>
    <w:rsid w:val="00CA2D6B"/>
    <w:rsid w:val="00CA408D"/>
    <w:rsid w:val="00CA72C2"/>
    <w:rsid w:val="00CA7E7D"/>
    <w:rsid w:val="00CB0477"/>
    <w:rsid w:val="00CB57D0"/>
    <w:rsid w:val="00CC504E"/>
    <w:rsid w:val="00CC50A5"/>
    <w:rsid w:val="00CD59A9"/>
    <w:rsid w:val="00CE3E7F"/>
    <w:rsid w:val="00CF10EE"/>
    <w:rsid w:val="00CF1F25"/>
    <w:rsid w:val="00CF2B11"/>
    <w:rsid w:val="00CF356B"/>
    <w:rsid w:val="00D0010C"/>
    <w:rsid w:val="00D04263"/>
    <w:rsid w:val="00D06DE9"/>
    <w:rsid w:val="00D079C4"/>
    <w:rsid w:val="00D112D4"/>
    <w:rsid w:val="00D15711"/>
    <w:rsid w:val="00D15A17"/>
    <w:rsid w:val="00D17653"/>
    <w:rsid w:val="00D31829"/>
    <w:rsid w:val="00D37546"/>
    <w:rsid w:val="00D37DB0"/>
    <w:rsid w:val="00D40EBE"/>
    <w:rsid w:val="00D4551F"/>
    <w:rsid w:val="00D5311A"/>
    <w:rsid w:val="00D56C10"/>
    <w:rsid w:val="00D60E36"/>
    <w:rsid w:val="00D674EE"/>
    <w:rsid w:val="00D7028B"/>
    <w:rsid w:val="00D9475F"/>
    <w:rsid w:val="00D96881"/>
    <w:rsid w:val="00DA1AF5"/>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36133"/>
    <w:rsid w:val="00E40E2C"/>
    <w:rsid w:val="00E47206"/>
    <w:rsid w:val="00E472EB"/>
    <w:rsid w:val="00E51661"/>
    <w:rsid w:val="00E541E0"/>
    <w:rsid w:val="00E54959"/>
    <w:rsid w:val="00E563ED"/>
    <w:rsid w:val="00E60EFF"/>
    <w:rsid w:val="00E65023"/>
    <w:rsid w:val="00E6583A"/>
    <w:rsid w:val="00E73DBD"/>
    <w:rsid w:val="00E747BB"/>
    <w:rsid w:val="00E76358"/>
    <w:rsid w:val="00E84519"/>
    <w:rsid w:val="00E84F2E"/>
    <w:rsid w:val="00E85AA5"/>
    <w:rsid w:val="00E925CE"/>
    <w:rsid w:val="00EA39A6"/>
    <w:rsid w:val="00EA5868"/>
    <w:rsid w:val="00EA7C54"/>
    <w:rsid w:val="00EB0085"/>
    <w:rsid w:val="00EB29B0"/>
    <w:rsid w:val="00EB6248"/>
    <w:rsid w:val="00EB6FC6"/>
    <w:rsid w:val="00EC1214"/>
    <w:rsid w:val="00EC4A59"/>
    <w:rsid w:val="00EC4DCD"/>
    <w:rsid w:val="00EC6474"/>
    <w:rsid w:val="00EC782D"/>
    <w:rsid w:val="00EE69FD"/>
    <w:rsid w:val="00EF71E0"/>
    <w:rsid w:val="00F102FE"/>
    <w:rsid w:val="00F14154"/>
    <w:rsid w:val="00F16FC9"/>
    <w:rsid w:val="00F234F0"/>
    <w:rsid w:val="00F252C4"/>
    <w:rsid w:val="00F4318B"/>
    <w:rsid w:val="00F507D9"/>
    <w:rsid w:val="00F576EF"/>
    <w:rsid w:val="00F65817"/>
    <w:rsid w:val="00F667C4"/>
    <w:rsid w:val="00F67D3D"/>
    <w:rsid w:val="00F735AF"/>
    <w:rsid w:val="00F779A9"/>
    <w:rsid w:val="00F77C85"/>
    <w:rsid w:val="00F821DF"/>
    <w:rsid w:val="00F84EB9"/>
    <w:rsid w:val="00F85FB1"/>
    <w:rsid w:val="00F94049"/>
    <w:rsid w:val="00F95E48"/>
    <w:rsid w:val="00F97D01"/>
    <w:rsid w:val="00F97EAD"/>
    <w:rsid w:val="00FA2D05"/>
    <w:rsid w:val="00FA6434"/>
    <w:rsid w:val="00FA69FD"/>
    <w:rsid w:val="00FB2A3C"/>
    <w:rsid w:val="00FB2EB7"/>
    <w:rsid w:val="00FC5AE5"/>
    <w:rsid w:val="00FD7980"/>
    <w:rsid w:val="00FE2186"/>
    <w:rsid w:val="00FF1510"/>
    <w:rsid w:val="00FF209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8AB3AAB7-649C-4438-8861-3432F3D2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FootnoteText">
    <w:name w:val="footnote text"/>
    <w:basedOn w:val="Normal"/>
    <w:link w:val="FootnoteTextChar"/>
    <w:uiPriority w:val="99"/>
    <w:semiHidden/>
    <w:unhideWhenUsed/>
    <w:rsid w:val="00261046"/>
    <w:rPr>
      <w:sz w:val="20"/>
      <w:szCs w:val="20"/>
    </w:rPr>
  </w:style>
  <w:style w:type="character" w:customStyle="1" w:styleId="FootnoteTextChar">
    <w:name w:val="Footnote Text Char"/>
    <w:basedOn w:val="DefaultParagraphFont"/>
    <w:link w:val="FootnoteText"/>
    <w:uiPriority w:val="99"/>
    <w:semiHidden/>
    <w:rsid w:val="00261046"/>
    <w:rPr>
      <w:rFonts w:ascii="Times New Roman" w:eastAsia="Times New Roman" w:hAnsi="Times New Roman" w:cs="Times New Roman"/>
      <w:sz w:val="20"/>
      <w:szCs w:val="20"/>
      <w:lang w:val="en-CA" w:eastAsia="zh-CN"/>
    </w:rPr>
  </w:style>
  <w:style w:type="character" w:styleId="FootnoteReference">
    <w:name w:val="footnote reference"/>
    <w:basedOn w:val="DefaultParagraphFont"/>
    <w:uiPriority w:val="99"/>
    <w:semiHidden/>
    <w:unhideWhenUsed/>
    <w:rsid w:val="00261046"/>
    <w:rPr>
      <w:vertAlign w:val="superscript"/>
    </w:rPr>
  </w:style>
  <w:style w:type="table" w:styleId="ListTable7Colorful">
    <w:name w:val="List Table 7 Colorful"/>
    <w:basedOn w:val="TableNormal"/>
    <w:uiPriority w:val="52"/>
    <w:rsid w:val="00992A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semiHidden/>
    <w:unhideWhenUsed/>
    <w:rsid w:val="00E36133"/>
    <w:pPr>
      <w:tabs>
        <w:tab w:val="center" w:pos="4680"/>
        <w:tab w:val="right" w:pos="9360"/>
      </w:tabs>
    </w:pPr>
  </w:style>
  <w:style w:type="character" w:customStyle="1" w:styleId="HeaderChar">
    <w:name w:val="Header Char"/>
    <w:basedOn w:val="DefaultParagraphFont"/>
    <w:link w:val="Header"/>
    <w:uiPriority w:val="99"/>
    <w:semiHidden/>
    <w:rsid w:val="00E36133"/>
    <w:rPr>
      <w:rFonts w:ascii="Times New Roman" w:eastAsia="Times New Roman" w:hAnsi="Times New Roman" w:cs="Times New Roman"/>
      <w:lang w:val="en-CA" w:eastAsia="zh-CN"/>
    </w:rPr>
  </w:style>
  <w:style w:type="paragraph" w:styleId="Footer">
    <w:name w:val="footer"/>
    <w:basedOn w:val="Normal"/>
    <w:link w:val="FooterChar"/>
    <w:uiPriority w:val="99"/>
    <w:semiHidden/>
    <w:unhideWhenUsed/>
    <w:rsid w:val="00E36133"/>
    <w:pPr>
      <w:tabs>
        <w:tab w:val="center" w:pos="4680"/>
        <w:tab w:val="right" w:pos="9360"/>
      </w:tabs>
    </w:pPr>
  </w:style>
  <w:style w:type="character" w:customStyle="1" w:styleId="FooterChar">
    <w:name w:val="Footer Char"/>
    <w:basedOn w:val="DefaultParagraphFont"/>
    <w:link w:val="Footer"/>
    <w:uiPriority w:val="99"/>
    <w:semiHidden/>
    <w:rsid w:val="00E36133"/>
    <w:rPr>
      <w:rFonts w:ascii="Times New Roman" w:eastAsia="Times New Roman" w:hAnsi="Times New Roman" w:cs="Times New Roman"/>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o.ca/univsec/pdf/academic_policies/appeals/academic_consideration_Sep24.pdf" TargetMode="External"/><Relationship Id="rId18" Type="http://schemas.openxmlformats.org/officeDocument/2006/relationships/hyperlink" Target="https://www.uwo.ca/univsec/pdf/academic_policies/appeals/Academic%20Accommodation_disabilities.pdf" TargetMode="External"/><Relationship Id="rId26" Type="http://schemas.openxmlformats.org/officeDocument/2006/relationships/hyperlink" Target="https://www.uwo.ca/sci/counselling/" TargetMode="External"/><Relationship Id="rId3" Type="http://schemas.openxmlformats.org/officeDocument/2006/relationships/styles" Target="styles.xml"/><Relationship Id="rId21" Type="http://schemas.openxmlformats.org/officeDocument/2006/relationships/hyperlink" Target="https://uwo.ca/univsec//pdf/academic_policies/appeals/requests_for_relief_from_academic_decision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rightspacehelp.uwo.ca/" TargetMode="External"/><Relationship Id="rId17" Type="http://schemas.openxmlformats.org/officeDocument/2006/relationships/hyperlink" Target="https://www.edi.uwo.ca" TargetMode="External"/><Relationship Id="rId25" Type="http://schemas.openxmlformats.org/officeDocument/2006/relationships/hyperlink" Target="https://uwo.ca/univsec//pdf/academic_policies/appeals/undergrad_scholastic_offence_procedur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esterncalendar.uwo.ca/PolicyPages.cfm?Command=showCategory&amp;PolicyCategoryID=5&amp;SelectedCalendar=Live&amp;ArchiveID=" TargetMode="External"/><Relationship Id="rId20" Type="http://schemas.openxmlformats.org/officeDocument/2006/relationships/hyperlink" Target="https://www.uwo.ca/univsec/pdf/policies_procedures/section1/mapp113.pdf" TargetMode="External"/><Relationship Id="rId29" Type="http://schemas.openxmlformats.org/officeDocument/2006/relationships/hyperlink" Target="http://academicsupport.uwo.ca/accessible_educatio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sternu.brightspace.com/" TargetMode="External"/><Relationship Id="rId24" Type="http://schemas.openxmlformats.org/officeDocument/2006/relationships/hyperlink" Target="https://uwo.ca/univsec//pdf/academic_policies/appeals/scholastic_offences.pdf" TargetMode="External"/><Relationship Id="rId32" Type="http://schemas.openxmlformats.org/officeDocument/2006/relationships/hyperlink" Target="https://westernusc.ca/services/" TargetMode="External"/><Relationship Id="rId5" Type="http://schemas.openxmlformats.org/officeDocument/2006/relationships/webSettings" Target="webSettings.xml"/><Relationship Id="rId15" Type="http://schemas.openxmlformats.org/officeDocument/2006/relationships/hyperlink" Target="https://registrar.uwo.ca/academics/academic_considerations/" TargetMode="External"/><Relationship Id="rId23" Type="http://schemas.openxmlformats.org/officeDocument/2006/relationships/hyperlink" Target="https://uwo.ca/univsec//pdf/academic_policies/appeals/graduate_requests_for_relief_procedure.pdf" TargetMode="External"/><Relationship Id="rId28" Type="http://schemas.openxmlformats.org/officeDocument/2006/relationships/hyperlink" Target="https://www.uwo.ca/health/student_support/survivor_support/get-help.html" TargetMode="External"/><Relationship Id="rId10" Type="http://schemas.openxmlformats.org/officeDocument/2006/relationships/hyperlink" Target="https://bookstore.uwo.ca/textbook-search?campus=UWO&amp;term=W2025A&amp;courses%5B0%5D=200_UW/MAT1229A" TargetMode="External"/><Relationship Id="rId19" Type="http://schemas.openxmlformats.org/officeDocument/2006/relationships/hyperlink" Target="https://www.registrar.uwo.ca/" TargetMode="External"/><Relationship Id="rId31" Type="http://schemas.openxmlformats.org/officeDocument/2006/relationships/hyperlink" Target="https://www.uwo.ca/se/digital/" TargetMode="External"/><Relationship Id="rId4" Type="http://schemas.openxmlformats.org/officeDocument/2006/relationships/settings" Target="settings.xml"/><Relationship Id="rId9" Type="http://schemas.openxmlformats.org/officeDocument/2006/relationships/hyperlink" Target="https://www.math.uwo.ca/undergraduate/current_students/Help%20Centre.html" TargetMode="External"/><Relationship Id="rId14" Type="http://schemas.openxmlformats.org/officeDocument/2006/relationships/hyperlink" Target="http://academicsupport.uwo.ca/accessible_education/" TargetMode="External"/><Relationship Id="rId22" Type="http://schemas.openxmlformats.org/officeDocument/2006/relationships/hyperlink" Target="https://uwo.ca/univsec//pdf/academic_policies/appeals/undergrad_requests_for_relief_procedure.pdf" TargetMode="External"/><Relationship Id="rId27" Type="http://schemas.openxmlformats.org/officeDocument/2006/relationships/hyperlink" Target="https://uwo.ca/health/" TargetMode="External"/><Relationship Id="rId30" Type="http://schemas.openxmlformats.org/officeDocument/2006/relationships/hyperlink" Target="https://learning.uwo.ca/"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41B9-5DF8-4E03-8A67-FC20E364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11</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Links>
    <vt:vector size="144" baseType="variant">
      <vt:variant>
        <vt:i4>2818174</vt:i4>
      </vt:variant>
      <vt:variant>
        <vt:i4>71</vt:i4>
      </vt:variant>
      <vt:variant>
        <vt:i4>0</vt:i4>
      </vt:variant>
      <vt:variant>
        <vt:i4>5</vt:i4>
      </vt:variant>
      <vt:variant>
        <vt:lpwstr>https://westernusc.ca/services/</vt:lpwstr>
      </vt:variant>
      <vt:variant>
        <vt:lpwstr/>
      </vt:variant>
      <vt:variant>
        <vt:i4>6422632</vt:i4>
      </vt:variant>
      <vt:variant>
        <vt:i4>68</vt:i4>
      </vt:variant>
      <vt:variant>
        <vt:i4>0</vt:i4>
      </vt:variant>
      <vt:variant>
        <vt:i4>5</vt:i4>
      </vt:variant>
      <vt:variant>
        <vt:lpwstr>https://www.uwo.ca/se/digital/</vt:lpwstr>
      </vt:variant>
      <vt:variant>
        <vt:lpwstr/>
      </vt:variant>
      <vt:variant>
        <vt:i4>6160475</vt:i4>
      </vt:variant>
      <vt:variant>
        <vt:i4>65</vt:i4>
      </vt:variant>
      <vt:variant>
        <vt:i4>0</vt:i4>
      </vt:variant>
      <vt:variant>
        <vt:i4>5</vt:i4>
      </vt:variant>
      <vt:variant>
        <vt:lpwstr>https://learning.uwo.ca/</vt:lpwstr>
      </vt:variant>
      <vt:variant>
        <vt:lpwstr/>
      </vt:variant>
      <vt:variant>
        <vt:i4>1900584</vt:i4>
      </vt:variant>
      <vt:variant>
        <vt:i4>62</vt:i4>
      </vt:variant>
      <vt:variant>
        <vt:i4>0</vt:i4>
      </vt:variant>
      <vt:variant>
        <vt:i4>5</vt:i4>
      </vt:variant>
      <vt:variant>
        <vt:lpwstr>http://academicsupport.uwo.ca/accessible_education/index.html</vt:lpwstr>
      </vt:variant>
      <vt:variant>
        <vt:lpwstr/>
      </vt:variant>
      <vt:variant>
        <vt:i4>6619168</vt:i4>
      </vt:variant>
      <vt:variant>
        <vt:i4>59</vt:i4>
      </vt:variant>
      <vt:variant>
        <vt:i4>0</vt:i4>
      </vt:variant>
      <vt:variant>
        <vt:i4>5</vt:i4>
      </vt:variant>
      <vt:variant>
        <vt:lpwstr>https://www.uwo.ca/health/student_support/survivor_support/get-help.html</vt:lpwstr>
      </vt:variant>
      <vt:variant>
        <vt:lpwstr/>
      </vt:variant>
      <vt:variant>
        <vt:i4>8061047</vt:i4>
      </vt:variant>
      <vt:variant>
        <vt:i4>56</vt:i4>
      </vt:variant>
      <vt:variant>
        <vt:i4>0</vt:i4>
      </vt:variant>
      <vt:variant>
        <vt:i4>5</vt:i4>
      </vt:variant>
      <vt:variant>
        <vt:lpwstr>https://uwo.ca/health/</vt:lpwstr>
      </vt:variant>
      <vt:variant>
        <vt:lpwstr/>
      </vt:variant>
      <vt:variant>
        <vt:i4>7143484</vt:i4>
      </vt:variant>
      <vt:variant>
        <vt:i4>53</vt:i4>
      </vt:variant>
      <vt:variant>
        <vt:i4>0</vt:i4>
      </vt:variant>
      <vt:variant>
        <vt:i4>5</vt:i4>
      </vt:variant>
      <vt:variant>
        <vt:lpwstr>https://www.uwo.ca/sci/counselling/</vt:lpwstr>
      </vt:variant>
      <vt:variant>
        <vt:lpwstr/>
      </vt:variant>
      <vt:variant>
        <vt:i4>8192043</vt:i4>
      </vt:variant>
      <vt:variant>
        <vt:i4>50</vt:i4>
      </vt:variant>
      <vt:variant>
        <vt:i4>0</vt:i4>
      </vt:variant>
      <vt:variant>
        <vt:i4>5</vt:i4>
      </vt:variant>
      <vt:variant>
        <vt:lpwstr>https://uwo.ca/univsec//pdf/academic_policies/appeals/undergrad_scholastic_offence_procedure.pdf</vt:lpwstr>
      </vt:variant>
      <vt:variant>
        <vt:lpwstr/>
      </vt:variant>
      <vt:variant>
        <vt:i4>1638479</vt:i4>
      </vt:variant>
      <vt:variant>
        <vt:i4>47</vt:i4>
      </vt:variant>
      <vt:variant>
        <vt:i4>0</vt:i4>
      </vt:variant>
      <vt:variant>
        <vt:i4>5</vt:i4>
      </vt:variant>
      <vt:variant>
        <vt:lpwstr>https://uwo.ca/univsec//pdf/academic_policies/appeals/scholastic_offences.pdf</vt:lpwstr>
      </vt:variant>
      <vt:variant>
        <vt:lpwstr/>
      </vt:variant>
      <vt:variant>
        <vt:i4>5373995</vt:i4>
      </vt:variant>
      <vt:variant>
        <vt:i4>44</vt:i4>
      </vt:variant>
      <vt:variant>
        <vt:i4>0</vt:i4>
      </vt:variant>
      <vt:variant>
        <vt:i4>5</vt:i4>
      </vt:variant>
      <vt:variant>
        <vt:lpwstr>https://uwo.ca/univsec//pdf/academic_policies/appeals/graduate_requests_for_relief_procedure.pdf</vt:lpwstr>
      </vt:variant>
      <vt:variant>
        <vt:lpwstr/>
      </vt:variant>
      <vt:variant>
        <vt:i4>1310822</vt:i4>
      </vt:variant>
      <vt:variant>
        <vt:i4>41</vt:i4>
      </vt:variant>
      <vt:variant>
        <vt:i4>0</vt:i4>
      </vt:variant>
      <vt:variant>
        <vt:i4>5</vt:i4>
      </vt:variant>
      <vt:variant>
        <vt:lpwstr>https://uwo.ca/univsec//pdf/academic_policies/appeals/undergrad_requests_for_relief_procedure.pdf</vt:lpwstr>
      </vt:variant>
      <vt:variant>
        <vt:lpwstr/>
      </vt:variant>
      <vt:variant>
        <vt:i4>393294</vt:i4>
      </vt:variant>
      <vt:variant>
        <vt:i4>38</vt:i4>
      </vt:variant>
      <vt:variant>
        <vt:i4>0</vt:i4>
      </vt:variant>
      <vt:variant>
        <vt:i4>5</vt:i4>
      </vt:variant>
      <vt:variant>
        <vt:lpwstr>https://uwo.ca/univsec//pdf/academic_policies/appeals/requests_for_relief_from_academic_decisions.pdf</vt:lpwstr>
      </vt:variant>
      <vt:variant>
        <vt:lpwstr/>
      </vt:variant>
      <vt:variant>
        <vt:i4>589942</vt:i4>
      </vt:variant>
      <vt:variant>
        <vt:i4>35</vt:i4>
      </vt:variant>
      <vt:variant>
        <vt:i4>0</vt:i4>
      </vt:variant>
      <vt:variant>
        <vt:i4>5</vt:i4>
      </vt:variant>
      <vt:variant>
        <vt:lpwstr>https://www.uwo.ca/univsec/pdf/policies_procedures/section1/mapp113.pdf</vt:lpwstr>
      </vt:variant>
      <vt:variant>
        <vt:lpwstr/>
      </vt:variant>
      <vt:variant>
        <vt:i4>4653151</vt:i4>
      </vt:variant>
      <vt:variant>
        <vt:i4>32</vt:i4>
      </vt:variant>
      <vt:variant>
        <vt:i4>0</vt:i4>
      </vt:variant>
      <vt:variant>
        <vt:i4>5</vt:i4>
      </vt:variant>
      <vt:variant>
        <vt:lpwstr>https://www.registrar.uwo.ca/</vt:lpwstr>
      </vt:variant>
      <vt:variant>
        <vt:lpwstr/>
      </vt:variant>
      <vt:variant>
        <vt:i4>5177416</vt:i4>
      </vt:variant>
      <vt:variant>
        <vt:i4>29</vt:i4>
      </vt:variant>
      <vt:variant>
        <vt:i4>0</vt:i4>
      </vt:variant>
      <vt:variant>
        <vt:i4>5</vt:i4>
      </vt:variant>
      <vt:variant>
        <vt:lpwstr>https://www.uwo.ca/univsec/pdf/academic_policies/appeals/Academic Accommodation_disabilities.pdf</vt:lpwstr>
      </vt:variant>
      <vt:variant>
        <vt:lpwstr/>
      </vt:variant>
      <vt:variant>
        <vt:i4>3801141</vt:i4>
      </vt:variant>
      <vt:variant>
        <vt:i4>26</vt:i4>
      </vt:variant>
      <vt:variant>
        <vt:i4>0</vt:i4>
      </vt:variant>
      <vt:variant>
        <vt:i4>5</vt:i4>
      </vt:variant>
      <vt:variant>
        <vt:lpwstr>https://www.edi.uwo.ca/</vt:lpwstr>
      </vt:variant>
      <vt:variant>
        <vt:lpwstr/>
      </vt:variant>
      <vt:variant>
        <vt:i4>2097230</vt:i4>
      </vt:variant>
      <vt:variant>
        <vt:i4>23</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20</vt:i4>
      </vt:variant>
      <vt:variant>
        <vt:i4>0</vt:i4>
      </vt:variant>
      <vt:variant>
        <vt:i4>5</vt:i4>
      </vt:variant>
      <vt:variant>
        <vt:lpwstr>https://registrar.uwo.ca/academics/academic_considerations/</vt:lpwstr>
      </vt:variant>
      <vt:variant>
        <vt:lpwstr/>
      </vt:variant>
      <vt:variant>
        <vt:i4>7143510</vt:i4>
      </vt:variant>
      <vt:variant>
        <vt:i4>17</vt:i4>
      </vt:variant>
      <vt:variant>
        <vt:i4>0</vt:i4>
      </vt:variant>
      <vt:variant>
        <vt:i4>5</vt:i4>
      </vt:variant>
      <vt:variant>
        <vt:lpwstr>http://academicsupport.uwo.ca/accessible_education/</vt:lpwstr>
      </vt:variant>
      <vt:variant>
        <vt:lpwstr/>
      </vt:variant>
      <vt:variant>
        <vt:i4>2490444</vt:i4>
      </vt:variant>
      <vt:variant>
        <vt:i4>14</vt:i4>
      </vt:variant>
      <vt:variant>
        <vt:i4>0</vt:i4>
      </vt:variant>
      <vt:variant>
        <vt:i4>5</vt:i4>
      </vt:variant>
      <vt:variant>
        <vt:lpwstr>https://www.uwo.ca/univsec/pdf/academic_policies/appeals/academic_consideration_Sep24.pdf</vt:lpwstr>
      </vt:variant>
      <vt:variant>
        <vt:lpwstr/>
      </vt:variant>
      <vt:variant>
        <vt:i4>7405624</vt:i4>
      </vt:variant>
      <vt:variant>
        <vt:i4>11</vt:i4>
      </vt:variant>
      <vt:variant>
        <vt:i4>0</vt:i4>
      </vt:variant>
      <vt:variant>
        <vt:i4>5</vt:i4>
      </vt:variant>
      <vt:variant>
        <vt:lpwstr>https://brightspacehelp.uwo.ca/</vt:lpwstr>
      </vt:variant>
      <vt:variant>
        <vt:lpwstr/>
      </vt:variant>
      <vt:variant>
        <vt:i4>1900626</vt:i4>
      </vt:variant>
      <vt:variant>
        <vt:i4>8</vt:i4>
      </vt:variant>
      <vt:variant>
        <vt:i4>0</vt:i4>
      </vt:variant>
      <vt:variant>
        <vt:i4>5</vt:i4>
      </vt:variant>
      <vt:variant>
        <vt:lpwstr>https://westernu.brightspace.com/</vt:lpwstr>
      </vt:variant>
      <vt:variant>
        <vt:lpwstr/>
      </vt:variant>
      <vt:variant>
        <vt:i4>3670026</vt:i4>
      </vt:variant>
      <vt:variant>
        <vt:i4>5</vt:i4>
      </vt:variant>
      <vt:variant>
        <vt:i4>0</vt:i4>
      </vt:variant>
      <vt:variant>
        <vt:i4>5</vt:i4>
      </vt:variant>
      <vt:variant>
        <vt:lpwstr>https://bookstore.uwo.ca/textbook-search?campus=UWO&amp;term=W2025A&amp;courses%5B0%5D=200_UW/MAT1229A</vt:lpwstr>
      </vt:variant>
      <vt:variant>
        <vt:lpwstr/>
      </vt:variant>
      <vt:variant>
        <vt:i4>5898294</vt:i4>
      </vt:variant>
      <vt:variant>
        <vt:i4>2</vt:i4>
      </vt:variant>
      <vt:variant>
        <vt:i4>0</vt:i4>
      </vt:variant>
      <vt:variant>
        <vt:i4>5</vt:i4>
      </vt:variant>
      <vt:variant>
        <vt:lpwstr>https://www.math.uwo.ca/undergraduate/current_students/Help Centre.html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Ajneet Dhillon</cp:lastModifiedBy>
  <cp:revision>122</cp:revision>
  <dcterms:created xsi:type="dcterms:W3CDTF">2024-11-27T16:09:00Z</dcterms:created>
  <dcterms:modified xsi:type="dcterms:W3CDTF">2025-09-09T16:25:00Z</dcterms:modified>
</cp:coreProperties>
</file>